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1F1F59" w14:textId="77777777" w:rsidR="00641B5B" w:rsidRPr="004D2631" w:rsidRDefault="00641B5B">
      <w:pPr>
        <w:jc w:val="both"/>
        <w:rPr>
          <w:b/>
          <w:bCs/>
          <w:lang w:val="en-GB"/>
        </w:rPr>
      </w:pPr>
    </w:p>
    <w:p w14:paraId="25028814" w14:textId="77777777" w:rsidR="00641B5B" w:rsidRPr="004D2631" w:rsidRDefault="00641B5B">
      <w:pPr>
        <w:jc w:val="both"/>
        <w:rPr>
          <w:b/>
          <w:bCs/>
          <w:lang w:val="en-GB"/>
        </w:rPr>
      </w:pPr>
    </w:p>
    <w:p w14:paraId="6D2B2C92" w14:textId="77777777" w:rsidR="00641B5B" w:rsidRPr="004D2631" w:rsidRDefault="0018260F">
      <w:pPr>
        <w:jc w:val="center"/>
        <w:rPr>
          <w:b/>
          <w:bCs/>
          <w:lang w:val="en-GB"/>
        </w:rPr>
      </w:pPr>
      <w:r w:rsidRPr="004D2631">
        <w:rPr>
          <w:b/>
          <w:bCs/>
          <w:noProof/>
          <w:lang w:val="en-GB"/>
        </w:rPr>
        <w:drawing>
          <wp:inline distT="0" distB="0" distL="0" distR="0" wp14:anchorId="5DAC279C" wp14:editId="3078795E">
            <wp:extent cx="2687479" cy="1354113"/>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11">
                      <a:extLst/>
                    </a:blip>
                    <a:stretch>
                      <a:fillRect/>
                    </a:stretch>
                  </pic:blipFill>
                  <pic:spPr>
                    <a:xfrm>
                      <a:off x="0" y="0"/>
                      <a:ext cx="2687479" cy="1354113"/>
                    </a:xfrm>
                    <a:prstGeom prst="rect">
                      <a:avLst/>
                    </a:prstGeom>
                    <a:ln w="12700" cap="flat">
                      <a:noFill/>
                      <a:miter lim="400000"/>
                    </a:ln>
                    <a:effectLst/>
                  </pic:spPr>
                </pic:pic>
              </a:graphicData>
            </a:graphic>
          </wp:inline>
        </w:drawing>
      </w:r>
    </w:p>
    <w:p w14:paraId="2C59DDEB" w14:textId="350AD208" w:rsidR="00641B5B" w:rsidRDefault="00641B5B">
      <w:pPr>
        <w:jc w:val="center"/>
        <w:rPr>
          <w:b/>
          <w:bCs/>
          <w:lang w:val="en-GB"/>
        </w:rPr>
      </w:pPr>
    </w:p>
    <w:p w14:paraId="7B284F70" w14:textId="77777777" w:rsidR="001F1510" w:rsidRDefault="001F1510">
      <w:pPr>
        <w:jc w:val="center"/>
        <w:rPr>
          <w:b/>
          <w:bCs/>
          <w:lang w:val="en-GB"/>
        </w:rPr>
      </w:pPr>
    </w:p>
    <w:p w14:paraId="470F6F74" w14:textId="77777777" w:rsidR="001F1510" w:rsidRPr="004D2631" w:rsidRDefault="001F1510">
      <w:pPr>
        <w:jc w:val="center"/>
        <w:rPr>
          <w:b/>
          <w:bCs/>
          <w:lang w:val="en-GB"/>
        </w:rPr>
      </w:pPr>
    </w:p>
    <w:p w14:paraId="0EA34409" w14:textId="77777777" w:rsidR="00641B5B" w:rsidRPr="004D2631" w:rsidRDefault="0018260F">
      <w:pPr>
        <w:jc w:val="center"/>
        <w:rPr>
          <w:b/>
          <w:bCs/>
          <w:color w:val="17365D"/>
          <w:u w:color="17365D"/>
          <w:lang w:val="en-GB"/>
        </w:rPr>
      </w:pPr>
      <w:r w:rsidRPr="004D2631">
        <w:rPr>
          <w:b/>
          <w:bCs/>
          <w:color w:val="17365D"/>
          <w:u w:color="17365D"/>
          <w:lang w:val="en-GB"/>
        </w:rPr>
        <w:t>Police and Crime</w:t>
      </w:r>
    </w:p>
    <w:p w14:paraId="2875C192" w14:textId="77777777" w:rsidR="00641B5B" w:rsidRPr="004D2631" w:rsidRDefault="0018260F">
      <w:pPr>
        <w:jc w:val="center"/>
        <w:rPr>
          <w:b/>
          <w:bCs/>
          <w:color w:val="17365D"/>
          <w:u w:color="17365D"/>
          <w:lang w:val="en-GB"/>
        </w:rPr>
      </w:pPr>
      <w:r w:rsidRPr="004D2631">
        <w:rPr>
          <w:b/>
          <w:bCs/>
          <w:color w:val="17365D"/>
          <w:u w:color="17365D"/>
          <w:lang w:val="en-GB"/>
        </w:rPr>
        <w:t>Commissioner for Dyfed-Powys</w:t>
      </w:r>
    </w:p>
    <w:p w14:paraId="488FCFA3" w14:textId="7930A9DE" w:rsidR="00641B5B" w:rsidRDefault="00641B5B">
      <w:pPr>
        <w:jc w:val="center"/>
        <w:rPr>
          <w:b/>
          <w:bCs/>
          <w:lang w:val="en-GB"/>
        </w:rPr>
      </w:pPr>
    </w:p>
    <w:p w14:paraId="5AF1965E" w14:textId="77777777" w:rsidR="001F1510" w:rsidRDefault="001F1510">
      <w:pPr>
        <w:jc w:val="center"/>
        <w:rPr>
          <w:b/>
          <w:bCs/>
          <w:lang w:val="en-GB"/>
        </w:rPr>
      </w:pPr>
    </w:p>
    <w:p w14:paraId="59013FB3" w14:textId="77777777" w:rsidR="001F1510" w:rsidRPr="004D2631" w:rsidRDefault="001F1510">
      <w:pPr>
        <w:jc w:val="center"/>
        <w:rPr>
          <w:b/>
          <w:bCs/>
          <w:lang w:val="en-GB"/>
        </w:rPr>
      </w:pPr>
    </w:p>
    <w:p w14:paraId="501D72A3" w14:textId="77777777" w:rsidR="00641B5B" w:rsidRPr="004D2631" w:rsidRDefault="00641B5B">
      <w:pPr>
        <w:jc w:val="center"/>
        <w:rPr>
          <w:b/>
          <w:bCs/>
          <w:lang w:val="en-GB"/>
        </w:rPr>
      </w:pPr>
    </w:p>
    <w:p w14:paraId="32405C3B" w14:textId="469AF88F" w:rsidR="00641B5B" w:rsidRPr="004D2631" w:rsidRDefault="00260172">
      <w:pPr>
        <w:jc w:val="center"/>
        <w:rPr>
          <w:b/>
          <w:bCs/>
          <w:color w:val="FF0000"/>
          <w:u w:color="FF0000"/>
          <w:lang w:val="en-GB"/>
        </w:rPr>
      </w:pPr>
      <w:r>
        <w:rPr>
          <w:b/>
          <w:bCs/>
          <w:color w:val="548DD4"/>
          <w:u w:color="548DD4"/>
          <w:lang w:val="en-GB"/>
        </w:rPr>
        <w:t>Snapshot Review</w:t>
      </w:r>
      <w:r w:rsidR="001F1510">
        <w:rPr>
          <w:b/>
          <w:bCs/>
          <w:color w:val="548DD4"/>
          <w:u w:color="548DD4"/>
          <w:lang w:val="en-GB"/>
        </w:rPr>
        <w:t xml:space="preserve"> of</w:t>
      </w:r>
    </w:p>
    <w:p w14:paraId="42F8830A" w14:textId="1054EC5F" w:rsidR="00641B5B" w:rsidRPr="004D2631" w:rsidRDefault="00F84089">
      <w:pPr>
        <w:jc w:val="center"/>
        <w:rPr>
          <w:b/>
          <w:bCs/>
          <w:color w:val="548DD4"/>
          <w:u w:color="548DD4"/>
          <w:lang w:val="en-GB"/>
        </w:rPr>
      </w:pPr>
      <w:r>
        <w:rPr>
          <w:b/>
          <w:color w:val="538DD3"/>
          <w:lang w:val="en-GB"/>
        </w:rPr>
        <w:t>Hate Crime and Incident</w:t>
      </w:r>
      <w:r w:rsidR="001F1510">
        <w:rPr>
          <w:b/>
          <w:color w:val="538DD3"/>
          <w:lang w:val="en-GB"/>
        </w:rPr>
        <w:t xml:space="preserve"> Cases</w:t>
      </w:r>
    </w:p>
    <w:p w14:paraId="52C7E322" w14:textId="0E84237C" w:rsidR="00641B5B" w:rsidRDefault="00641B5B">
      <w:pPr>
        <w:jc w:val="center"/>
        <w:rPr>
          <w:b/>
          <w:bCs/>
          <w:color w:val="17365D"/>
          <w:u w:color="17365D"/>
          <w:lang w:val="en-GB"/>
        </w:rPr>
      </w:pPr>
    </w:p>
    <w:p w14:paraId="7E520D9B" w14:textId="2CEA8F15" w:rsidR="001F1510" w:rsidRDefault="001F1510">
      <w:pPr>
        <w:jc w:val="center"/>
        <w:rPr>
          <w:b/>
          <w:bCs/>
          <w:color w:val="17365D"/>
          <w:u w:color="17365D"/>
          <w:lang w:val="en-GB"/>
        </w:rPr>
      </w:pPr>
    </w:p>
    <w:p w14:paraId="3D7FD240" w14:textId="77777777" w:rsidR="001F1510" w:rsidRPr="004D2631" w:rsidRDefault="001F1510">
      <w:pPr>
        <w:jc w:val="center"/>
        <w:rPr>
          <w:b/>
          <w:bCs/>
          <w:color w:val="17365D"/>
          <w:u w:color="17365D"/>
          <w:lang w:val="en-GB"/>
        </w:rPr>
      </w:pPr>
    </w:p>
    <w:p w14:paraId="59617AA6" w14:textId="77777777" w:rsidR="00641B5B" w:rsidRPr="004D2631" w:rsidRDefault="00641B5B">
      <w:pPr>
        <w:jc w:val="center"/>
        <w:rPr>
          <w:b/>
          <w:bCs/>
          <w:color w:val="17365D"/>
          <w:u w:color="17365D"/>
          <w:lang w:val="en-GB"/>
        </w:rPr>
      </w:pPr>
    </w:p>
    <w:p w14:paraId="0BAB1058" w14:textId="0F58DB57" w:rsidR="00641B5B" w:rsidRPr="004D2631" w:rsidRDefault="00F84089">
      <w:pPr>
        <w:jc w:val="center"/>
        <w:rPr>
          <w:lang w:val="en-GB"/>
        </w:rPr>
        <w:sectPr w:rsidR="00641B5B" w:rsidRPr="004D2631">
          <w:headerReference w:type="even" r:id="rId12"/>
          <w:headerReference w:type="default" r:id="rId13"/>
          <w:footerReference w:type="even" r:id="rId14"/>
          <w:footerReference w:type="default" r:id="rId15"/>
          <w:headerReference w:type="first" r:id="rId16"/>
          <w:pgSz w:w="11900" w:h="16840"/>
          <w:pgMar w:top="1440" w:right="1440" w:bottom="1440" w:left="1440" w:header="708" w:footer="708" w:gutter="0"/>
          <w:cols w:space="720"/>
          <w:titlePg/>
        </w:sectPr>
      </w:pPr>
      <w:r>
        <w:rPr>
          <w:b/>
          <w:bCs/>
          <w:color w:val="17365D"/>
          <w:u w:color="17365D"/>
          <w:lang w:val="en-GB"/>
        </w:rPr>
        <w:t>September</w:t>
      </w:r>
      <w:r w:rsidR="0018260F" w:rsidRPr="004D2631">
        <w:rPr>
          <w:b/>
          <w:bCs/>
          <w:color w:val="17365D"/>
          <w:u w:color="17365D"/>
          <w:lang w:val="en-GB"/>
        </w:rPr>
        <w:t xml:space="preserve"> 2019</w:t>
      </w:r>
    </w:p>
    <w:p w14:paraId="4C4FD363" w14:textId="77777777" w:rsidR="00641B5B" w:rsidRPr="004D2631" w:rsidRDefault="0018260F" w:rsidP="00586907">
      <w:pPr>
        <w:pStyle w:val="Heading1"/>
        <w:numPr>
          <w:ilvl w:val="0"/>
          <w:numId w:val="2"/>
        </w:numPr>
        <w:spacing w:before="0" w:after="240" w:line="360" w:lineRule="auto"/>
        <w:ind w:left="709" w:right="89" w:hanging="709"/>
        <w:contextualSpacing/>
        <w:jc w:val="both"/>
        <w:rPr>
          <w:sz w:val="22"/>
          <w:szCs w:val="22"/>
          <w:lang w:val="en-GB"/>
        </w:rPr>
      </w:pPr>
      <w:bookmarkStart w:id="1" w:name="_Overview"/>
      <w:bookmarkStart w:id="2" w:name="_Toc10201181"/>
      <w:bookmarkEnd w:id="1"/>
      <w:r w:rsidRPr="004D2631">
        <w:rPr>
          <w:sz w:val="22"/>
          <w:szCs w:val="22"/>
          <w:lang w:val="en-GB"/>
        </w:rPr>
        <w:lastRenderedPageBreak/>
        <w:t>Overview</w:t>
      </w:r>
      <w:bookmarkEnd w:id="2"/>
    </w:p>
    <w:p w14:paraId="24F51863" w14:textId="053E2F4F" w:rsidR="00F84089" w:rsidRPr="00F84089" w:rsidRDefault="00F84089" w:rsidP="00F84089">
      <w:pPr>
        <w:spacing w:after="240" w:line="360" w:lineRule="auto"/>
        <w:ind w:left="170" w:right="170"/>
        <w:contextualSpacing/>
        <w:jc w:val="both"/>
        <w:rPr>
          <w:lang w:val="en-GB"/>
        </w:rPr>
      </w:pPr>
      <w:r w:rsidRPr="00F84089">
        <w:rPr>
          <w:lang w:val="en-GB"/>
        </w:rPr>
        <w:t xml:space="preserve">As part of the Commissioner’s scrutiny framework, four OPCC staff members conducted a snapshot review of 11 hate </w:t>
      </w:r>
      <w:r>
        <w:rPr>
          <w:lang w:val="en-GB"/>
        </w:rPr>
        <w:t xml:space="preserve">crimes and </w:t>
      </w:r>
      <w:r w:rsidRPr="00F84089">
        <w:rPr>
          <w:lang w:val="en-GB"/>
        </w:rPr>
        <w:t xml:space="preserve">incidents which occurred between February and June 2019. </w:t>
      </w:r>
    </w:p>
    <w:p w14:paraId="6037E9F8" w14:textId="05756177" w:rsidR="00F84089" w:rsidRDefault="00F84089" w:rsidP="00F84089">
      <w:pPr>
        <w:spacing w:after="240" w:line="360" w:lineRule="auto"/>
        <w:ind w:right="170"/>
        <w:contextualSpacing/>
        <w:jc w:val="both"/>
        <w:rPr>
          <w:lang w:val="en-GB"/>
        </w:rPr>
      </w:pPr>
    </w:p>
    <w:p w14:paraId="4AB97A60" w14:textId="3E2D909E" w:rsidR="00641B5B" w:rsidRPr="004D2631" w:rsidRDefault="0018260F" w:rsidP="00586907">
      <w:pPr>
        <w:pStyle w:val="Heading1"/>
        <w:numPr>
          <w:ilvl w:val="0"/>
          <w:numId w:val="2"/>
        </w:numPr>
        <w:spacing w:before="0" w:after="240" w:line="360" w:lineRule="auto"/>
        <w:ind w:left="709" w:right="89" w:hanging="709"/>
        <w:contextualSpacing/>
        <w:jc w:val="both"/>
        <w:rPr>
          <w:sz w:val="22"/>
          <w:szCs w:val="22"/>
          <w:lang w:val="en-GB"/>
        </w:rPr>
      </w:pPr>
      <w:bookmarkStart w:id="3" w:name="_Toc10201182"/>
      <w:r w:rsidRPr="004D2631">
        <w:rPr>
          <w:sz w:val="22"/>
          <w:szCs w:val="22"/>
          <w:lang w:val="en-GB"/>
        </w:rPr>
        <w:t>Background, Purpose and Methodology</w:t>
      </w:r>
      <w:bookmarkEnd w:id="3"/>
      <w:r w:rsidRPr="004D2631">
        <w:rPr>
          <w:sz w:val="22"/>
          <w:szCs w:val="22"/>
          <w:lang w:val="en-GB"/>
        </w:rPr>
        <w:t xml:space="preserve"> </w:t>
      </w:r>
    </w:p>
    <w:p w14:paraId="48988546" w14:textId="6F42D411" w:rsidR="00641B5B" w:rsidRDefault="00DB5D99" w:rsidP="00586907">
      <w:pPr>
        <w:spacing w:after="240" w:line="360" w:lineRule="auto"/>
        <w:ind w:right="89"/>
        <w:contextualSpacing/>
        <w:jc w:val="both"/>
        <w:rPr>
          <w:lang w:val="en-GB"/>
        </w:rPr>
      </w:pPr>
      <w:r>
        <w:rPr>
          <w:lang w:val="en-GB"/>
        </w:rPr>
        <w:t xml:space="preserve">The Police and Crime Commissioner’s </w:t>
      </w:r>
      <w:r w:rsidR="00305171">
        <w:rPr>
          <w:lang w:val="en-GB"/>
        </w:rPr>
        <w:t>s</w:t>
      </w:r>
      <w:r>
        <w:rPr>
          <w:lang w:val="en-GB"/>
        </w:rPr>
        <w:t xml:space="preserve">crutiny </w:t>
      </w:r>
      <w:r w:rsidR="00305171">
        <w:rPr>
          <w:lang w:val="en-GB"/>
        </w:rPr>
        <w:t>h</w:t>
      </w:r>
      <w:r>
        <w:rPr>
          <w:lang w:val="en-GB"/>
        </w:rPr>
        <w:t>as mainly</w:t>
      </w:r>
      <w:r w:rsidR="00305171">
        <w:rPr>
          <w:lang w:val="en-GB"/>
        </w:rPr>
        <w:t xml:space="preserve"> been</w:t>
      </w:r>
      <w:r>
        <w:rPr>
          <w:lang w:val="en-GB"/>
        </w:rPr>
        <w:t xml:space="preserve"> undertaken in one of three ways: through direct requests for information and questioning at governance meetings; via scrutiny panels’ formal reviews of cases; and more recently, </w:t>
      </w:r>
      <w:r w:rsidR="00305171">
        <w:rPr>
          <w:lang w:val="en-GB"/>
        </w:rPr>
        <w:t xml:space="preserve">thematic </w:t>
      </w:r>
      <w:r>
        <w:rPr>
          <w:lang w:val="en-GB"/>
        </w:rPr>
        <w:t>deep dives.</w:t>
      </w:r>
      <w:r w:rsidRPr="00DB5D99">
        <w:rPr>
          <w:lang w:val="en-GB"/>
        </w:rPr>
        <w:t xml:space="preserve"> </w:t>
      </w:r>
      <w:r>
        <w:rPr>
          <w:lang w:val="en-GB"/>
        </w:rPr>
        <w:t xml:space="preserve">The Commissioner’s new scrutiny framework has </w:t>
      </w:r>
      <w:r w:rsidR="00305171">
        <w:rPr>
          <w:lang w:val="en-GB"/>
        </w:rPr>
        <w:t xml:space="preserve">been designed to offer </w:t>
      </w:r>
      <w:r>
        <w:rPr>
          <w:lang w:val="en-GB"/>
        </w:rPr>
        <w:t>an enhanced suite of methodologies</w:t>
      </w:r>
      <w:r w:rsidR="00305171">
        <w:rPr>
          <w:lang w:val="en-GB"/>
        </w:rPr>
        <w:t>, to provide more flexible and proportionate options.</w:t>
      </w:r>
    </w:p>
    <w:p w14:paraId="71CE84E9" w14:textId="77777777" w:rsidR="00F84089" w:rsidRDefault="00F84089" w:rsidP="00104BB7">
      <w:pPr>
        <w:spacing w:after="240" w:line="360" w:lineRule="auto"/>
        <w:ind w:right="89"/>
        <w:contextualSpacing/>
        <w:rPr>
          <w:lang w:val="en-GB"/>
        </w:rPr>
      </w:pPr>
    </w:p>
    <w:p w14:paraId="22A84C03" w14:textId="7A7B6D2F" w:rsidR="00F84089" w:rsidRDefault="00F84089" w:rsidP="00F84089">
      <w:pPr>
        <w:spacing w:after="240" w:line="360" w:lineRule="auto"/>
        <w:ind w:right="170"/>
        <w:contextualSpacing/>
        <w:jc w:val="both"/>
        <w:rPr>
          <w:lang w:val="en-GB"/>
        </w:rPr>
      </w:pPr>
      <w:bookmarkStart w:id="4" w:name="_Welsh_Force_Communication"/>
      <w:bookmarkEnd w:id="4"/>
      <w:r>
        <w:rPr>
          <w:lang w:val="en-GB"/>
        </w:rPr>
        <w:t>T</w:t>
      </w:r>
      <w:r w:rsidRPr="00F84089">
        <w:rPr>
          <w:lang w:val="en-GB"/>
        </w:rPr>
        <w:t>hese 11 cases had been previously selected for consideration by the Commissioner’s Quality Assurance Panel during their meeting in August 2019, but had not been reviewed due to time constraints. The Panel reviewed a total of 10 cases within their meeting, the results of which can be seen within their report.</w:t>
      </w:r>
    </w:p>
    <w:p w14:paraId="1E3DA473" w14:textId="7885469B" w:rsidR="00641B5B" w:rsidRPr="00F84089" w:rsidRDefault="00641B5B" w:rsidP="00F84089">
      <w:pPr>
        <w:spacing w:line="360" w:lineRule="auto"/>
        <w:ind w:right="89"/>
        <w:contextualSpacing/>
        <w:rPr>
          <w:lang w:val="en-GB"/>
        </w:rPr>
      </w:pPr>
    </w:p>
    <w:p w14:paraId="5BB83E8B" w14:textId="674B3EC5" w:rsidR="00C445F2" w:rsidRPr="00F84089" w:rsidRDefault="00C445F2" w:rsidP="00586907">
      <w:pPr>
        <w:pStyle w:val="Heading1"/>
        <w:numPr>
          <w:ilvl w:val="0"/>
          <w:numId w:val="2"/>
        </w:numPr>
        <w:spacing w:before="0" w:after="240" w:line="360" w:lineRule="auto"/>
        <w:ind w:left="709" w:right="89" w:hanging="709"/>
        <w:contextualSpacing/>
        <w:jc w:val="both"/>
        <w:rPr>
          <w:sz w:val="22"/>
          <w:szCs w:val="22"/>
          <w:lang w:val="en-GB"/>
        </w:rPr>
      </w:pPr>
      <w:r w:rsidRPr="00F84089">
        <w:rPr>
          <w:sz w:val="22"/>
          <w:szCs w:val="22"/>
          <w:lang w:val="en-GB"/>
        </w:rPr>
        <w:t>Summary</w:t>
      </w:r>
      <w:r w:rsidR="0074113F">
        <w:rPr>
          <w:sz w:val="22"/>
          <w:szCs w:val="22"/>
          <w:lang w:val="en-GB"/>
        </w:rPr>
        <w:t xml:space="preserve"> of cases reviewed</w:t>
      </w:r>
    </w:p>
    <w:tbl>
      <w:tblPr>
        <w:tblStyle w:val="ListTable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2359"/>
      </w:tblGrid>
      <w:tr w:rsidR="00F84089" w:rsidRPr="00F84089" w14:paraId="692204BC" w14:textId="77777777" w:rsidTr="0058690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137" w:type="dxa"/>
            <w:tcBorders>
              <w:bottom w:val="none" w:sz="0" w:space="0" w:color="auto"/>
              <w:right w:val="none" w:sz="0" w:space="0" w:color="auto"/>
            </w:tcBorders>
          </w:tcPr>
          <w:p w14:paraId="4AE4A68A" w14:textId="2580D5B8" w:rsidR="00F84089" w:rsidRPr="00F84089" w:rsidRDefault="00586907" w:rsidP="00586907">
            <w:pPr>
              <w:tabs>
                <w:tab w:val="left" w:pos="1800"/>
              </w:tabs>
              <w:jc w:val="center"/>
            </w:pPr>
            <w:r>
              <w:t>Type of hate crime / incident</w:t>
            </w:r>
          </w:p>
        </w:tc>
        <w:tc>
          <w:tcPr>
            <w:tcW w:w="2359" w:type="dxa"/>
          </w:tcPr>
          <w:p w14:paraId="40D5E795" w14:textId="37D61F57" w:rsidR="00F84089" w:rsidRPr="00F84089" w:rsidRDefault="00586907" w:rsidP="00586907">
            <w:pPr>
              <w:tabs>
                <w:tab w:val="left" w:pos="1800"/>
              </w:tabs>
              <w:jc w:val="center"/>
              <w:cnfStyle w:val="100000000000" w:firstRow="1" w:lastRow="0" w:firstColumn="0" w:lastColumn="0" w:oddVBand="0" w:evenVBand="0" w:oddHBand="0" w:evenHBand="0" w:firstRowFirstColumn="0" w:firstRowLastColumn="0" w:lastRowFirstColumn="0" w:lastRowLastColumn="0"/>
            </w:pPr>
            <w:r>
              <w:t>Cases r</w:t>
            </w:r>
            <w:r w:rsidR="00F84089" w:rsidRPr="00F84089">
              <w:t>eviewed</w:t>
            </w:r>
          </w:p>
        </w:tc>
      </w:tr>
      <w:tr w:rsidR="00F84089" w:rsidRPr="00F84089" w14:paraId="4144E1B2" w14:textId="77777777" w:rsidTr="005869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37" w:type="dxa"/>
            <w:tcBorders>
              <w:top w:val="none" w:sz="0" w:space="0" w:color="auto"/>
              <w:bottom w:val="none" w:sz="0" w:space="0" w:color="auto"/>
              <w:right w:val="none" w:sz="0" w:space="0" w:color="auto"/>
            </w:tcBorders>
          </w:tcPr>
          <w:p w14:paraId="591C96AF" w14:textId="77777777" w:rsidR="00F84089" w:rsidRPr="00586907" w:rsidRDefault="00F84089" w:rsidP="007C7E39">
            <w:pPr>
              <w:tabs>
                <w:tab w:val="left" w:pos="1800"/>
              </w:tabs>
              <w:rPr>
                <w:b w:val="0"/>
              </w:rPr>
            </w:pPr>
            <w:r w:rsidRPr="00586907">
              <w:rPr>
                <w:b w:val="0"/>
              </w:rPr>
              <w:t xml:space="preserve">Racially Aggravated </w:t>
            </w:r>
          </w:p>
        </w:tc>
        <w:tc>
          <w:tcPr>
            <w:tcW w:w="2359" w:type="dxa"/>
            <w:tcBorders>
              <w:top w:val="none" w:sz="0" w:space="0" w:color="auto"/>
              <w:bottom w:val="none" w:sz="0" w:space="0" w:color="auto"/>
            </w:tcBorders>
          </w:tcPr>
          <w:p w14:paraId="38CD911D" w14:textId="021FA0FF" w:rsidR="00F84089" w:rsidRPr="00586907" w:rsidRDefault="00DE32E8" w:rsidP="00586907">
            <w:pPr>
              <w:tabs>
                <w:tab w:val="left" w:pos="1800"/>
              </w:tabs>
              <w:jc w:val="center"/>
              <w:cnfStyle w:val="000000100000" w:firstRow="0" w:lastRow="0" w:firstColumn="0" w:lastColumn="0" w:oddVBand="0" w:evenVBand="0" w:oddHBand="1" w:evenHBand="0" w:firstRowFirstColumn="0" w:firstRowLastColumn="0" w:lastRowFirstColumn="0" w:lastRowLastColumn="0"/>
            </w:pPr>
            <w:r>
              <w:t>2</w:t>
            </w:r>
          </w:p>
        </w:tc>
      </w:tr>
      <w:tr w:rsidR="00F84089" w:rsidRPr="00F84089" w14:paraId="6D664EC2" w14:textId="77777777" w:rsidTr="00586907">
        <w:trPr>
          <w:jc w:val="center"/>
        </w:trPr>
        <w:tc>
          <w:tcPr>
            <w:cnfStyle w:val="001000000000" w:firstRow="0" w:lastRow="0" w:firstColumn="1" w:lastColumn="0" w:oddVBand="0" w:evenVBand="0" w:oddHBand="0" w:evenHBand="0" w:firstRowFirstColumn="0" w:firstRowLastColumn="0" w:lastRowFirstColumn="0" w:lastRowLastColumn="0"/>
            <w:tcW w:w="5137" w:type="dxa"/>
            <w:tcBorders>
              <w:right w:val="none" w:sz="0" w:space="0" w:color="auto"/>
            </w:tcBorders>
          </w:tcPr>
          <w:p w14:paraId="0A93538B" w14:textId="77777777" w:rsidR="00F84089" w:rsidRPr="00586907" w:rsidRDefault="00F84089" w:rsidP="007C7E39">
            <w:pPr>
              <w:tabs>
                <w:tab w:val="left" w:pos="1800"/>
              </w:tabs>
              <w:rPr>
                <w:b w:val="0"/>
              </w:rPr>
            </w:pPr>
            <w:r w:rsidRPr="00586907">
              <w:rPr>
                <w:b w:val="0"/>
              </w:rPr>
              <w:t xml:space="preserve">Homophobic / Transphobic </w:t>
            </w:r>
          </w:p>
        </w:tc>
        <w:tc>
          <w:tcPr>
            <w:tcW w:w="2359" w:type="dxa"/>
          </w:tcPr>
          <w:p w14:paraId="50F8A1DC" w14:textId="0025E60C" w:rsidR="00F84089" w:rsidRPr="00586907" w:rsidRDefault="00DE32E8" w:rsidP="00586907">
            <w:pPr>
              <w:tabs>
                <w:tab w:val="left" w:pos="1800"/>
              </w:tabs>
              <w:jc w:val="center"/>
              <w:cnfStyle w:val="000000000000" w:firstRow="0" w:lastRow="0" w:firstColumn="0" w:lastColumn="0" w:oddVBand="0" w:evenVBand="0" w:oddHBand="0" w:evenHBand="0" w:firstRowFirstColumn="0" w:firstRowLastColumn="0" w:lastRowFirstColumn="0" w:lastRowLastColumn="0"/>
            </w:pPr>
            <w:r>
              <w:t>5</w:t>
            </w:r>
          </w:p>
        </w:tc>
      </w:tr>
      <w:tr w:rsidR="00F84089" w:rsidRPr="00F84089" w14:paraId="7573DD26" w14:textId="77777777" w:rsidTr="005869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37" w:type="dxa"/>
            <w:tcBorders>
              <w:top w:val="none" w:sz="0" w:space="0" w:color="auto"/>
              <w:bottom w:val="none" w:sz="0" w:space="0" w:color="auto"/>
              <w:right w:val="none" w:sz="0" w:space="0" w:color="auto"/>
            </w:tcBorders>
          </w:tcPr>
          <w:p w14:paraId="08E86084" w14:textId="77777777" w:rsidR="00F84089" w:rsidRPr="00586907" w:rsidRDefault="00F84089" w:rsidP="007C7E39">
            <w:pPr>
              <w:tabs>
                <w:tab w:val="left" w:pos="1800"/>
              </w:tabs>
              <w:rPr>
                <w:b w:val="0"/>
              </w:rPr>
            </w:pPr>
            <w:r w:rsidRPr="00586907">
              <w:rPr>
                <w:b w:val="0"/>
              </w:rPr>
              <w:t>Religiously Aggravated</w:t>
            </w:r>
          </w:p>
        </w:tc>
        <w:tc>
          <w:tcPr>
            <w:tcW w:w="2359" w:type="dxa"/>
            <w:tcBorders>
              <w:top w:val="none" w:sz="0" w:space="0" w:color="auto"/>
              <w:bottom w:val="none" w:sz="0" w:space="0" w:color="auto"/>
            </w:tcBorders>
          </w:tcPr>
          <w:p w14:paraId="55CB5B21" w14:textId="3575CE0D" w:rsidR="00F84089" w:rsidRPr="00586907" w:rsidRDefault="00DE32E8" w:rsidP="00586907">
            <w:pPr>
              <w:tabs>
                <w:tab w:val="left" w:pos="1800"/>
              </w:tabs>
              <w:jc w:val="center"/>
              <w:cnfStyle w:val="000000100000" w:firstRow="0" w:lastRow="0" w:firstColumn="0" w:lastColumn="0" w:oddVBand="0" w:evenVBand="0" w:oddHBand="1" w:evenHBand="0" w:firstRowFirstColumn="0" w:firstRowLastColumn="0" w:lastRowFirstColumn="0" w:lastRowLastColumn="0"/>
            </w:pPr>
            <w:r>
              <w:t>2</w:t>
            </w:r>
          </w:p>
        </w:tc>
      </w:tr>
      <w:tr w:rsidR="00B10C98" w:rsidRPr="00F84089" w14:paraId="4042F305" w14:textId="77777777" w:rsidTr="00586907">
        <w:trPr>
          <w:jc w:val="center"/>
        </w:trPr>
        <w:tc>
          <w:tcPr>
            <w:cnfStyle w:val="001000000000" w:firstRow="0" w:lastRow="0" w:firstColumn="1" w:lastColumn="0" w:oddVBand="0" w:evenVBand="0" w:oddHBand="0" w:evenHBand="0" w:firstRowFirstColumn="0" w:firstRowLastColumn="0" w:lastRowFirstColumn="0" w:lastRowLastColumn="0"/>
            <w:tcW w:w="5137" w:type="dxa"/>
          </w:tcPr>
          <w:p w14:paraId="57B608BA" w14:textId="744AE419" w:rsidR="00B10C98" w:rsidRPr="00B10C98" w:rsidRDefault="00B10C98" w:rsidP="007C7E39">
            <w:pPr>
              <w:tabs>
                <w:tab w:val="left" w:pos="1800"/>
              </w:tabs>
              <w:rPr>
                <w:b w:val="0"/>
              </w:rPr>
            </w:pPr>
            <w:r w:rsidRPr="00B10C98">
              <w:rPr>
                <w:b w:val="0"/>
              </w:rPr>
              <w:t>Disability</w:t>
            </w:r>
            <w:r w:rsidR="00DE32E8">
              <w:rPr>
                <w:b w:val="0"/>
              </w:rPr>
              <w:t xml:space="preserve"> related / mate crime</w:t>
            </w:r>
          </w:p>
        </w:tc>
        <w:tc>
          <w:tcPr>
            <w:tcW w:w="2359" w:type="dxa"/>
          </w:tcPr>
          <w:p w14:paraId="7D79AF31" w14:textId="6EEFF89B" w:rsidR="00B10C98" w:rsidRPr="00586907" w:rsidRDefault="00DE32E8" w:rsidP="00586907">
            <w:pPr>
              <w:tabs>
                <w:tab w:val="left" w:pos="1800"/>
              </w:tabs>
              <w:jc w:val="center"/>
              <w:cnfStyle w:val="000000000000" w:firstRow="0" w:lastRow="0" w:firstColumn="0" w:lastColumn="0" w:oddVBand="0" w:evenVBand="0" w:oddHBand="0" w:evenHBand="0" w:firstRowFirstColumn="0" w:firstRowLastColumn="0" w:lastRowFirstColumn="0" w:lastRowLastColumn="0"/>
            </w:pPr>
            <w:r>
              <w:t>2</w:t>
            </w:r>
          </w:p>
        </w:tc>
      </w:tr>
      <w:tr w:rsidR="00F84089" w:rsidRPr="00F84089" w14:paraId="506769DF" w14:textId="77777777" w:rsidTr="005869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37" w:type="dxa"/>
            <w:tcBorders>
              <w:top w:val="none" w:sz="0" w:space="0" w:color="auto"/>
              <w:bottom w:val="none" w:sz="0" w:space="0" w:color="auto"/>
              <w:right w:val="none" w:sz="0" w:space="0" w:color="auto"/>
            </w:tcBorders>
          </w:tcPr>
          <w:p w14:paraId="70B6D95C" w14:textId="44F440D9" w:rsidR="00F84089" w:rsidRPr="00F84089" w:rsidRDefault="00F84089" w:rsidP="007C7E39">
            <w:pPr>
              <w:tabs>
                <w:tab w:val="left" w:pos="1800"/>
              </w:tabs>
            </w:pPr>
            <w:r w:rsidRPr="00F84089">
              <w:t>Total</w:t>
            </w:r>
          </w:p>
        </w:tc>
        <w:tc>
          <w:tcPr>
            <w:tcW w:w="2359" w:type="dxa"/>
            <w:tcBorders>
              <w:top w:val="none" w:sz="0" w:space="0" w:color="auto"/>
              <w:bottom w:val="none" w:sz="0" w:space="0" w:color="auto"/>
            </w:tcBorders>
          </w:tcPr>
          <w:p w14:paraId="31BD90C3" w14:textId="0BD93700" w:rsidR="00F84089" w:rsidRPr="00586907" w:rsidRDefault="00F84089" w:rsidP="00586907">
            <w:pPr>
              <w:tabs>
                <w:tab w:val="left" w:pos="1800"/>
              </w:tabs>
              <w:jc w:val="center"/>
              <w:cnfStyle w:val="000000100000" w:firstRow="0" w:lastRow="0" w:firstColumn="0" w:lastColumn="0" w:oddVBand="0" w:evenVBand="0" w:oddHBand="1" w:evenHBand="0" w:firstRowFirstColumn="0" w:firstRowLastColumn="0" w:lastRowFirstColumn="0" w:lastRowLastColumn="0"/>
              <w:rPr>
                <w:b/>
              </w:rPr>
            </w:pPr>
            <w:r w:rsidRPr="00586907">
              <w:rPr>
                <w:b/>
              </w:rPr>
              <w:t>11</w:t>
            </w:r>
          </w:p>
        </w:tc>
      </w:tr>
    </w:tbl>
    <w:p w14:paraId="678D76C7" w14:textId="5FD2B262" w:rsidR="00C02DBD" w:rsidRDefault="00C02DBD" w:rsidP="00F84089">
      <w:pPr>
        <w:tabs>
          <w:tab w:val="left" w:pos="1800"/>
        </w:tabs>
      </w:pPr>
    </w:p>
    <w:p w14:paraId="31124BA5" w14:textId="1D48F40E" w:rsidR="0074113F" w:rsidRDefault="0074113F" w:rsidP="00B6445B">
      <w:pPr>
        <w:pStyle w:val="Heading1"/>
        <w:numPr>
          <w:ilvl w:val="0"/>
          <w:numId w:val="2"/>
        </w:numPr>
        <w:spacing w:before="0" w:after="240" w:line="360" w:lineRule="auto"/>
        <w:ind w:left="709" w:right="89" w:hanging="709"/>
        <w:contextualSpacing/>
        <w:jc w:val="both"/>
        <w:rPr>
          <w:sz w:val="22"/>
          <w:szCs w:val="22"/>
          <w:lang w:val="en-GB"/>
        </w:rPr>
      </w:pPr>
      <w:r w:rsidRPr="0074113F">
        <w:rPr>
          <w:sz w:val="22"/>
          <w:szCs w:val="22"/>
          <w:lang w:val="en-GB"/>
        </w:rPr>
        <w:t>Summary of findings</w:t>
      </w:r>
    </w:p>
    <w:p w14:paraId="57163A6E" w14:textId="610FB938" w:rsidR="0074113F" w:rsidRPr="00B6445B" w:rsidRDefault="0074113F" w:rsidP="00B6445B">
      <w:pPr>
        <w:pStyle w:val="Heading1"/>
        <w:numPr>
          <w:ilvl w:val="1"/>
          <w:numId w:val="2"/>
        </w:numPr>
        <w:spacing w:after="240" w:line="360" w:lineRule="auto"/>
        <w:ind w:right="89"/>
        <w:contextualSpacing/>
        <w:jc w:val="both"/>
        <w:rPr>
          <w:sz w:val="22"/>
          <w:szCs w:val="22"/>
          <w:lang w:val="en-GB"/>
        </w:rPr>
      </w:pPr>
      <w:r w:rsidRPr="00B6445B">
        <w:rPr>
          <w:sz w:val="22"/>
          <w:szCs w:val="22"/>
          <w:lang w:val="en-GB"/>
        </w:rPr>
        <w:t xml:space="preserve">Best </w:t>
      </w:r>
      <w:r w:rsidR="008D2567">
        <w:rPr>
          <w:sz w:val="22"/>
          <w:szCs w:val="22"/>
          <w:lang w:val="en-GB"/>
        </w:rPr>
        <w:t>p</w:t>
      </w:r>
      <w:r w:rsidRPr="00B6445B">
        <w:rPr>
          <w:sz w:val="22"/>
          <w:szCs w:val="22"/>
          <w:lang w:val="en-GB"/>
        </w:rPr>
        <w:t xml:space="preserve">ractice </w:t>
      </w:r>
    </w:p>
    <w:p w14:paraId="0ACC82B4" w14:textId="77777777" w:rsidR="0074113F" w:rsidRPr="0074113F" w:rsidRDefault="0074113F" w:rsidP="0074113F">
      <w:pPr>
        <w:rPr>
          <w:lang w:val="en-GB"/>
        </w:rPr>
      </w:pPr>
      <w:r w:rsidRPr="0074113F">
        <w:rPr>
          <w:lang w:val="en-GB"/>
        </w:rPr>
        <w:t xml:space="preserve">These areas were identified as best practice by the staff members: </w:t>
      </w:r>
    </w:p>
    <w:p w14:paraId="62BEE6B7" w14:textId="13611C66" w:rsidR="0074113F" w:rsidRPr="0074113F" w:rsidRDefault="0074113F" w:rsidP="00B6445B">
      <w:pPr>
        <w:pStyle w:val="ListParagraph"/>
        <w:numPr>
          <w:ilvl w:val="0"/>
          <w:numId w:val="21"/>
        </w:numPr>
        <w:spacing w:line="360" w:lineRule="auto"/>
      </w:pPr>
      <w:r w:rsidRPr="0074113F">
        <w:t>Good evidence of extra provisions and adjustments bei</w:t>
      </w:r>
      <w:r w:rsidR="00B6445B">
        <w:t>ng made for vulnerable victims.</w:t>
      </w:r>
      <w:r w:rsidRPr="0074113F">
        <w:t xml:space="preserve"> For example, the victim within one case was identified as partially sighted and therefore required additional support with written materials, which was provided by the officer. This </w:t>
      </w:r>
      <w:r w:rsidR="00052133">
        <w:t>raised the question as to the range of</w:t>
      </w:r>
      <w:r w:rsidRPr="0074113F">
        <w:t xml:space="preserve"> alternative formats (such as audio versions) of hate crime information </w:t>
      </w:r>
      <w:r w:rsidR="00052133">
        <w:t xml:space="preserve">that </w:t>
      </w:r>
      <w:r w:rsidRPr="0074113F">
        <w:t>is available and easily accessible by H</w:t>
      </w:r>
      <w:r w:rsidR="005E6A5C">
        <w:t xml:space="preserve">ate </w:t>
      </w:r>
      <w:r w:rsidRPr="0074113F">
        <w:t>C</w:t>
      </w:r>
      <w:r w:rsidR="005E6A5C">
        <w:t xml:space="preserve">rime </w:t>
      </w:r>
      <w:r w:rsidRPr="0074113F">
        <w:t>S</w:t>
      </w:r>
      <w:r w:rsidR="005E6A5C">
        <w:t xml:space="preserve">upport </w:t>
      </w:r>
      <w:r w:rsidRPr="0074113F">
        <w:t>O</w:t>
      </w:r>
      <w:r w:rsidR="005E6A5C">
        <w:t>fficer</w:t>
      </w:r>
      <w:r w:rsidRPr="0074113F">
        <w:t>s</w:t>
      </w:r>
      <w:r w:rsidR="005E6A5C">
        <w:t xml:space="preserve"> (HCSOs)</w:t>
      </w:r>
      <w:r w:rsidRPr="0074113F">
        <w:t>.</w:t>
      </w:r>
    </w:p>
    <w:p w14:paraId="50A5E494" w14:textId="562A820E" w:rsidR="0074113F" w:rsidRPr="0074113F" w:rsidRDefault="0074113F" w:rsidP="00B6445B">
      <w:pPr>
        <w:pStyle w:val="ListParagraph"/>
        <w:numPr>
          <w:ilvl w:val="0"/>
          <w:numId w:val="21"/>
        </w:numPr>
        <w:spacing w:line="360" w:lineRule="auto"/>
      </w:pPr>
      <w:r w:rsidRPr="0074113F">
        <w:t>Whilst the delayed deployment of a HCSO</w:t>
      </w:r>
      <w:r w:rsidR="00052133">
        <w:t xml:space="preserve"> within one case</w:t>
      </w:r>
      <w:r w:rsidRPr="0074113F">
        <w:t xml:space="preserve"> was contradictory to policy, reviewers consider it to be appropriate that the organisation did not necessarily require a HCSO to make contact within 48 hours as there were no direct victims. </w:t>
      </w:r>
    </w:p>
    <w:p w14:paraId="12A68D89" w14:textId="4312AFEA" w:rsidR="0074113F" w:rsidRPr="00B6445B" w:rsidRDefault="0074113F" w:rsidP="00B6445B">
      <w:pPr>
        <w:pStyle w:val="Heading1"/>
        <w:numPr>
          <w:ilvl w:val="1"/>
          <w:numId w:val="2"/>
        </w:numPr>
        <w:spacing w:after="240" w:line="360" w:lineRule="auto"/>
        <w:ind w:right="89"/>
        <w:contextualSpacing/>
        <w:jc w:val="both"/>
        <w:rPr>
          <w:sz w:val="22"/>
          <w:szCs w:val="22"/>
          <w:lang w:val="en-GB"/>
        </w:rPr>
      </w:pPr>
      <w:r w:rsidRPr="00B6445B">
        <w:rPr>
          <w:sz w:val="22"/>
          <w:szCs w:val="22"/>
          <w:lang w:val="en-GB"/>
        </w:rPr>
        <w:t xml:space="preserve">Areas of </w:t>
      </w:r>
      <w:r w:rsidR="008D2567">
        <w:rPr>
          <w:sz w:val="22"/>
          <w:szCs w:val="22"/>
          <w:lang w:val="en-GB"/>
        </w:rPr>
        <w:t>l</w:t>
      </w:r>
      <w:r w:rsidRPr="00B6445B">
        <w:rPr>
          <w:sz w:val="22"/>
          <w:szCs w:val="22"/>
          <w:lang w:val="en-GB"/>
        </w:rPr>
        <w:t xml:space="preserve">earning </w:t>
      </w:r>
    </w:p>
    <w:p w14:paraId="1A906D34" w14:textId="44B87193" w:rsidR="0074113F" w:rsidRPr="0074113F" w:rsidRDefault="0074113F" w:rsidP="0074113F">
      <w:pPr>
        <w:rPr>
          <w:lang w:val="en-GB"/>
        </w:rPr>
      </w:pPr>
      <w:r w:rsidRPr="0074113F">
        <w:rPr>
          <w:lang w:val="en-GB"/>
        </w:rPr>
        <w:t>The following were identified as potent</w:t>
      </w:r>
      <w:r w:rsidR="00AA6679">
        <w:rPr>
          <w:lang w:val="en-GB"/>
        </w:rPr>
        <w:t>ial areas for improvement in</w:t>
      </w:r>
      <w:r w:rsidRPr="0074113F">
        <w:rPr>
          <w:lang w:val="en-GB"/>
        </w:rPr>
        <w:t xml:space="preserve"> future cases: </w:t>
      </w:r>
    </w:p>
    <w:p w14:paraId="31BA32B7" w14:textId="4CCC324B" w:rsidR="0074113F" w:rsidRPr="0074113F" w:rsidRDefault="0074113F" w:rsidP="00B6445B">
      <w:pPr>
        <w:pStyle w:val="ListParagraph"/>
        <w:numPr>
          <w:ilvl w:val="0"/>
          <w:numId w:val="21"/>
        </w:numPr>
        <w:spacing w:line="360" w:lineRule="auto"/>
      </w:pPr>
      <w:r w:rsidRPr="0074113F">
        <w:t>Goleudy had been suggested for further support for the victim within two cases, however Goleudy does not provide support for victims of hate crime. The victims should have been referred to Victim Support.</w:t>
      </w:r>
    </w:p>
    <w:p w14:paraId="4F38739E" w14:textId="6F8CA83C" w:rsidR="0074113F" w:rsidRPr="0074113F" w:rsidRDefault="0074113F" w:rsidP="00B6445B">
      <w:pPr>
        <w:pStyle w:val="ListParagraph"/>
        <w:numPr>
          <w:ilvl w:val="0"/>
          <w:numId w:val="21"/>
        </w:numPr>
        <w:spacing w:line="360" w:lineRule="auto"/>
      </w:pPr>
      <w:r w:rsidRPr="0074113F">
        <w:t xml:space="preserve">There may be some discrepancies in victim contracts when a generic template is used rather than it being tailored to the specific victim. For example, we found pronouns being used interchangeably within </w:t>
      </w:r>
      <w:r w:rsidR="00052133">
        <w:t>one contract</w:t>
      </w:r>
      <w:r w:rsidRPr="0074113F">
        <w:t xml:space="preserve">. No assumption should be made as to the preferred use of pronoun. Officers should ask the individual if they are uncertain. </w:t>
      </w:r>
    </w:p>
    <w:p w14:paraId="58CD89EC" w14:textId="77777777" w:rsidR="00576ACC" w:rsidRDefault="0074113F" w:rsidP="005E6A5C">
      <w:pPr>
        <w:pStyle w:val="ListParagraph"/>
        <w:numPr>
          <w:ilvl w:val="0"/>
          <w:numId w:val="21"/>
        </w:numPr>
        <w:spacing w:line="360" w:lineRule="auto"/>
        <w:sectPr w:rsidR="00576ACC" w:rsidSect="00C56929">
          <w:headerReference w:type="even" r:id="rId17"/>
          <w:headerReference w:type="default" r:id="rId18"/>
          <w:footerReference w:type="even" r:id="rId19"/>
          <w:footerReference w:type="default" r:id="rId20"/>
          <w:headerReference w:type="first" r:id="rId21"/>
          <w:footerReference w:type="first" r:id="rId22"/>
          <w:pgSz w:w="11900" w:h="16840" w:code="9"/>
          <w:pgMar w:top="1440" w:right="1440" w:bottom="1418" w:left="1440" w:header="709" w:footer="709" w:gutter="0"/>
          <w:pgNumType w:start="1"/>
          <w:cols w:space="720"/>
          <w:titlePg/>
        </w:sectPr>
      </w:pPr>
      <w:r w:rsidRPr="00B6445B">
        <w:t>Some cases may have benefitted from additional evidence of the HCSOs’ contact with victims.</w:t>
      </w:r>
      <w:r>
        <w:t xml:space="preserve"> Not all cases appeared to acknowledge that victims of hate crimes are entitled to an e</w:t>
      </w:r>
      <w:r w:rsidRPr="00B6445B">
        <w:t>nhanced service</w:t>
      </w:r>
      <w:r>
        <w:t xml:space="preserve"> under the Victims’ Code of Practice.</w:t>
      </w:r>
      <w:r w:rsidRPr="00B6445B">
        <w:t xml:space="preserve"> </w:t>
      </w:r>
    </w:p>
    <w:p w14:paraId="7DA07E86" w14:textId="069F2530" w:rsidR="0074113F" w:rsidRPr="00AA6679" w:rsidRDefault="00AA6679" w:rsidP="00AA6679">
      <w:pPr>
        <w:pStyle w:val="Heading1"/>
        <w:numPr>
          <w:ilvl w:val="0"/>
          <w:numId w:val="2"/>
        </w:numPr>
        <w:spacing w:before="0" w:after="240" w:line="360" w:lineRule="auto"/>
        <w:ind w:left="709" w:right="89" w:hanging="709"/>
        <w:contextualSpacing/>
        <w:jc w:val="both"/>
        <w:rPr>
          <w:sz w:val="18"/>
          <w:szCs w:val="22"/>
          <w:lang w:val="en-GB"/>
        </w:rPr>
      </w:pPr>
      <w:r w:rsidRPr="00AA6679">
        <w:rPr>
          <w:sz w:val="22"/>
        </w:rPr>
        <w:t>Detailed findings</w:t>
      </w:r>
    </w:p>
    <w:tbl>
      <w:tblPr>
        <w:tblStyle w:val="ListTable3-Accent1"/>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1323"/>
        <w:gridCol w:w="8514"/>
      </w:tblGrid>
      <w:tr w:rsidR="00C02DBD" w:rsidRPr="00586907" w14:paraId="00E5A33B" w14:textId="21B39BE8" w:rsidTr="005E6A5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720" w:type="dxa"/>
          </w:tcPr>
          <w:p w14:paraId="745E0F76" w14:textId="1291AD97" w:rsidR="00C02DBD" w:rsidRPr="00586907" w:rsidRDefault="00C02DBD" w:rsidP="00586907">
            <w:pPr>
              <w:tabs>
                <w:tab w:val="left" w:pos="1800"/>
              </w:tabs>
              <w:jc w:val="center"/>
            </w:pPr>
            <w:r w:rsidRPr="00586907">
              <w:t>Criteria</w:t>
            </w:r>
          </w:p>
        </w:tc>
        <w:tc>
          <w:tcPr>
            <w:tcW w:w="1323" w:type="dxa"/>
          </w:tcPr>
          <w:p w14:paraId="5784134F" w14:textId="238B9CE4" w:rsidR="00C02DBD" w:rsidRPr="00586907" w:rsidRDefault="00C02DBD" w:rsidP="00586907">
            <w:pPr>
              <w:tabs>
                <w:tab w:val="left" w:pos="1800"/>
              </w:tabs>
              <w:jc w:val="center"/>
              <w:cnfStyle w:val="100000000000" w:firstRow="1" w:lastRow="0" w:firstColumn="0" w:lastColumn="0" w:oddVBand="0" w:evenVBand="0" w:oddHBand="0" w:evenHBand="0" w:firstRowFirstColumn="0" w:firstRowLastColumn="0" w:lastRowFirstColumn="0" w:lastRowLastColumn="0"/>
            </w:pPr>
            <w:r w:rsidRPr="00586907">
              <w:t>Number of cases</w:t>
            </w:r>
          </w:p>
        </w:tc>
        <w:tc>
          <w:tcPr>
            <w:tcW w:w="8514" w:type="dxa"/>
          </w:tcPr>
          <w:p w14:paraId="0270CFE7" w14:textId="7BFAA8A2" w:rsidR="00C02DBD" w:rsidRPr="00586907" w:rsidRDefault="00C23039" w:rsidP="00586907">
            <w:pPr>
              <w:tabs>
                <w:tab w:val="left" w:pos="1800"/>
              </w:tabs>
              <w:jc w:val="center"/>
              <w:cnfStyle w:val="100000000000" w:firstRow="1" w:lastRow="0" w:firstColumn="0" w:lastColumn="0" w:oddVBand="0" w:evenVBand="0" w:oddHBand="0" w:evenHBand="0" w:firstRowFirstColumn="0" w:firstRowLastColumn="0" w:lastRowFirstColumn="0" w:lastRowLastColumn="0"/>
            </w:pPr>
            <w:r>
              <w:t>Comments</w:t>
            </w:r>
          </w:p>
        </w:tc>
      </w:tr>
      <w:tr w:rsidR="00C02DBD" w:rsidRPr="00586907" w14:paraId="7B21EA85" w14:textId="79ECFD20" w:rsidTr="005E6A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0" w:type="dxa"/>
          </w:tcPr>
          <w:p w14:paraId="6B09A980" w14:textId="79ECF458" w:rsidR="00C02DBD" w:rsidRPr="00586907" w:rsidRDefault="005E6A5C" w:rsidP="00C02DBD">
            <w:pPr>
              <w:tabs>
                <w:tab w:val="left" w:pos="1800"/>
              </w:tabs>
            </w:pPr>
            <w:r>
              <w:rPr>
                <w:b w:val="0"/>
              </w:rPr>
              <w:t>HCSO</w:t>
            </w:r>
            <w:r w:rsidR="00C02DBD">
              <w:rPr>
                <w:b w:val="0"/>
              </w:rPr>
              <w:t xml:space="preserve"> contacted within 48 hours</w:t>
            </w:r>
          </w:p>
        </w:tc>
        <w:tc>
          <w:tcPr>
            <w:tcW w:w="1323" w:type="dxa"/>
          </w:tcPr>
          <w:p w14:paraId="6CB87308" w14:textId="37C59401" w:rsidR="00C02DBD" w:rsidRPr="00586907" w:rsidRDefault="00C02DBD" w:rsidP="00C02DBD">
            <w:pPr>
              <w:tabs>
                <w:tab w:val="left" w:pos="1800"/>
              </w:tabs>
              <w:jc w:val="center"/>
              <w:cnfStyle w:val="000000100000" w:firstRow="0" w:lastRow="0" w:firstColumn="0" w:lastColumn="0" w:oddVBand="0" w:evenVBand="0" w:oddHBand="1" w:evenHBand="0" w:firstRowFirstColumn="0" w:firstRowLastColumn="0" w:lastRowFirstColumn="0" w:lastRowLastColumn="0"/>
            </w:pPr>
            <w:r>
              <w:t>3</w:t>
            </w:r>
          </w:p>
        </w:tc>
        <w:tc>
          <w:tcPr>
            <w:tcW w:w="8514" w:type="dxa"/>
          </w:tcPr>
          <w:p w14:paraId="13B7BC66" w14:textId="77777777" w:rsidR="00C02DBD" w:rsidRDefault="00C02DBD" w:rsidP="00586907">
            <w:pPr>
              <w:tabs>
                <w:tab w:val="left" w:pos="1800"/>
              </w:tabs>
              <w:cnfStyle w:val="000000100000" w:firstRow="0" w:lastRow="0" w:firstColumn="0" w:lastColumn="0" w:oddVBand="0" w:evenVBand="0" w:oddHBand="1" w:evenHBand="0" w:firstRowFirstColumn="0" w:firstRowLastColumn="0" w:lastRowFirstColumn="0" w:lastRowLastColumn="0"/>
            </w:pPr>
          </w:p>
        </w:tc>
      </w:tr>
      <w:tr w:rsidR="00C02DBD" w:rsidRPr="00586907" w14:paraId="1A4BEC6D" w14:textId="05E10839" w:rsidTr="005E6A5C">
        <w:trPr>
          <w:jc w:val="center"/>
        </w:trPr>
        <w:tc>
          <w:tcPr>
            <w:cnfStyle w:val="001000000000" w:firstRow="0" w:lastRow="0" w:firstColumn="1" w:lastColumn="0" w:oddVBand="0" w:evenVBand="0" w:oddHBand="0" w:evenHBand="0" w:firstRowFirstColumn="0" w:firstRowLastColumn="0" w:lastRowFirstColumn="0" w:lastRowLastColumn="0"/>
            <w:tcW w:w="4720" w:type="dxa"/>
          </w:tcPr>
          <w:p w14:paraId="04B3C6A2" w14:textId="46D0074C" w:rsidR="00C02DBD" w:rsidRPr="00586907" w:rsidRDefault="00052133" w:rsidP="00586907">
            <w:pPr>
              <w:tabs>
                <w:tab w:val="left" w:pos="1800"/>
              </w:tabs>
              <w:rPr>
                <w:b w:val="0"/>
              </w:rPr>
            </w:pPr>
            <w:r>
              <w:rPr>
                <w:b w:val="0"/>
              </w:rPr>
              <w:t>HCSO d</w:t>
            </w:r>
            <w:r w:rsidR="00C02DBD" w:rsidRPr="00586907">
              <w:rPr>
                <w:b w:val="0"/>
              </w:rPr>
              <w:t xml:space="preserve">eclined </w:t>
            </w:r>
            <w:r w:rsidR="00C02DBD">
              <w:rPr>
                <w:b w:val="0"/>
              </w:rPr>
              <w:t>by victim</w:t>
            </w:r>
          </w:p>
        </w:tc>
        <w:tc>
          <w:tcPr>
            <w:tcW w:w="1323" w:type="dxa"/>
          </w:tcPr>
          <w:p w14:paraId="7FD7F12B" w14:textId="32326860" w:rsidR="00C02DBD" w:rsidRPr="00586907" w:rsidRDefault="00C02DBD" w:rsidP="00C02DBD">
            <w:pPr>
              <w:tabs>
                <w:tab w:val="left" w:pos="1800"/>
              </w:tabs>
              <w:jc w:val="center"/>
              <w:cnfStyle w:val="000000000000" w:firstRow="0" w:lastRow="0" w:firstColumn="0" w:lastColumn="0" w:oddVBand="0" w:evenVBand="0" w:oddHBand="0" w:evenHBand="0" w:firstRowFirstColumn="0" w:firstRowLastColumn="0" w:lastRowFirstColumn="0" w:lastRowLastColumn="0"/>
            </w:pPr>
            <w:r>
              <w:t>4</w:t>
            </w:r>
          </w:p>
        </w:tc>
        <w:tc>
          <w:tcPr>
            <w:tcW w:w="8514" w:type="dxa"/>
          </w:tcPr>
          <w:p w14:paraId="2505340C" w14:textId="77777777" w:rsidR="00C02DBD" w:rsidRDefault="00C02DBD" w:rsidP="00586907">
            <w:pPr>
              <w:tabs>
                <w:tab w:val="left" w:pos="1800"/>
              </w:tabs>
              <w:cnfStyle w:val="000000000000" w:firstRow="0" w:lastRow="0" w:firstColumn="0" w:lastColumn="0" w:oddVBand="0" w:evenVBand="0" w:oddHBand="0" w:evenHBand="0" w:firstRowFirstColumn="0" w:firstRowLastColumn="0" w:lastRowFirstColumn="0" w:lastRowLastColumn="0"/>
            </w:pPr>
          </w:p>
        </w:tc>
      </w:tr>
      <w:tr w:rsidR="00C02DBD" w:rsidRPr="00586907" w14:paraId="533DF439" w14:textId="3C52359E" w:rsidTr="005E6A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0" w:type="dxa"/>
          </w:tcPr>
          <w:p w14:paraId="2176BAA9" w14:textId="668AD7B1" w:rsidR="00C02DBD" w:rsidRPr="00586907" w:rsidRDefault="00C02DBD" w:rsidP="00C02DBD">
            <w:pPr>
              <w:tabs>
                <w:tab w:val="left" w:pos="1800"/>
              </w:tabs>
              <w:rPr>
                <w:b w:val="0"/>
              </w:rPr>
            </w:pPr>
            <w:r w:rsidRPr="00586907">
              <w:rPr>
                <w:b w:val="0"/>
              </w:rPr>
              <w:t xml:space="preserve">HCSO </w:t>
            </w:r>
            <w:r>
              <w:rPr>
                <w:b w:val="0"/>
              </w:rPr>
              <w:t>contacted outside of 48 hour target</w:t>
            </w:r>
          </w:p>
        </w:tc>
        <w:tc>
          <w:tcPr>
            <w:tcW w:w="1323" w:type="dxa"/>
          </w:tcPr>
          <w:p w14:paraId="62E3ABAD" w14:textId="30B22B59" w:rsidR="00C02DBD" w:rsidRPr="00586907" w:rsidRDefault="00C02DBD" w:rsidP="00C02DBD">
            <w:pPr>
              <w:tabs>
                <w:tab w:val="left" w:pos="1800"/>
              </w:tabs>
              <w:jc w:val="center"/>
              <w:cnfStyle w:val="000000100000" w:firstRow="0" w:lastRow="0" w:firstColumn="0" w:lastColumn="0" w:oddVBand="0" w:evenVBand="0" w:oddHBand="1" w:evenHBand="0" w:firstRowFirstColumn="0" w:firstRowLastColumn="0" w:lastRowFirstColumn="0" w:lastRowLastColumn="0"/>
            </w:pPr>
            <w:r>
              <w:t>2</w:t>
            </w:r>
          </w:p>
        </w:tc>
        <w:tc>
          <w:tcPr>
            <w:tcW w:w="8514" w:type="dxa"/>
          </w:tcPr>
          <w:p w14:paraId="112E9C83" w14:textId="77777777" w:rsidR="00B10C98" w:rsidRDefault="00A76CA6" w:rsidP="005E6A5C">
            <w:pPr>
              <w:tabs>
                <w:tab w:val="left" w:pos="1800"/>
              </w:tabs>
              <w:cnfStyle w:val="000000100000" w:firstRow="0" w:lastRow="0" w:firstColumn="0" w:lastColumn="0" w:oddVBand="0" w:evenVBand="0" w:oddHBand="1" w:evenHBand="0" w:firstRowFirstColumn="0" w:firstRowLastColumn="0" w:lastRowFirstColumn="0" w:lastRowLastColumn="0"/>
            </w:pPr>
            <w:r>
              <w:t xml:space="preserve">1 </w:t>
            </w:r>
            <w:r w:rsidR="005E6A5C">
              <w:t xml:space="preserve">allocated after 6 days. </w:t>
            </w:r>
          </w:p>
          <w:p w14:paraId="38DFB5A8" w14:textId="5FA3277C" w:rsidR="00A76CA6" w:rsidRDefault="005E6A5C" w:rsidP="005E6A5C">
            <w:pPr>
              <w:tabs>
                <w:tab w:val="left" w:pos="1800"/>
              </w:tabs>
              <w:cnfStyle w:val="000000100000" w:firstRow="0" w:lastRow="0" w:firstColumn="0" w:lastColumn="0" w:oddVBand="0" w:evenVBand="0" w:oddHBand="1" w:evenHBand="0" w:firstRowFirstColumn="0" w:firstRowLastColumn="0" w:lastRowFirstColumn="0" w:lastRowLastColumn="0"/>
            </w:pPr>
            <w:r>
              <w:t xml:space="preserve">Case where there was no direct victim </w:t>
            </w:r>
            <w:r w:rsidR="00026BC9">
              <w:t>attended 20 days later</w:t>
            </w:r>
          </w:p>
        </w:tc>
      </w:tr>
      <w:tr w:rsidR="00C02DBD" w:rsidRPr="00586907" w14:paraId="75396004" w14:textId="7B551A94" w:rsidTr="005E6A5C">
        <w:trPr>
          <w:jc w:val="center"/>
        </w:trPr>
        <w:tc>
          <w:tcPr>
            <w:cnfStyle w:val="001000000000" w:firstRow="0" w:lastRow="0" w:firstColumn="1" w:lastColumn="0" w:oddVBand="0" w:evenVBand="0" w:oddHBand="0" w:evenHBand="0" w:firstRowFirstColumn="0" w:firstRowLastColumn="0" w:lastRowFirstColumn="0" w:lastRowLastColumn="0"/>
            <w:tcW w:w="4720" w:type="dxa"/>
            <w:tcBorders>
              <w:bottom w:val="double" w:sz="4" w:space="0" w:color="auto"/>
            </w:tcBorders>
          </w:tcPr>
          <w:p w14:paraId="6DB9D81A" w14:textId="4741BDF1" w:rsidR="00C02DBD" w:rsidRPr="00586907" w:rsidRDefault="00C02DBD" w:rsidP="00C02DBD">
            <w:pPr>
              <w:tabs>
                <w:tab w:val="left" w:pos="1800"/>
              </w:tabs>
              <w:rPr>
                <w:b w:val="0"/>
              </w:rPr>
            </w:pPr>
            <w:r>
              <w:rPr>
                <w:b w:val="0"/>
              </w:rPr>
              <w:t>HCSO not appropriate</w:t>
            </w:r>
          </w:p>
        </w:tc>
        <w:tc>
          <w:tcPr>
            <w:tcW w:w="1323" w:type="dxa"/>
            <w:tcBorders>
              <w:bottom w:val="double" w:sz="4" w:space="0" w:color="auto"/>
            </w:tcBorders>
          </w:tcPr>
          <w:p w14:paraId="0DA45ABB" w14:textId="4E1D7839" w:rsidR="00C02DBD" w:rsidRPr="00586907" w:rsidRDefault="00C02DBD" w:rsidP="00C02DBD">
            <w:pPr>
              <w:tabs>
                <w:tab w:val="left" w:pos="1800"/>
              </w:tabs>
              <w:jc w:val="center"/>
              <w:cnfStyle w:val="000000000000" w:firstRow="0" w:lastRow="0" w:firstColumn="0" w:lastColumn="0" w:oddVBand="0" w:evenVBand="0" w:oddHBand="0" w:evenHBand="0" w:firstRowFirstColumn="0" w:firstRowLastColumn="0" w:lastRowFirstColumn="0" w:lastRowLastColumn="0"/>
            </w:pPr>
            <w:r>
              <w:t>2</w:t>
            </w:r>
          </w:p>
        </w:tc>
        <w:tc>
          <w:tcPr>
            <w:tcW w:w="8514" w:type="dxa"/>
            <w:tcBorders>
              <w:bottom w:val="double" w:sz="4" w:space="0" w:color="auto"/>
            </w:tcBorders>
          </w:tcPr>
          <w:p w14:paraId="0AE98FF0" w14:textId="4AC083DA" w:rsidR="00F17CB5" w:rsidRDefault="00F17CB5" w:rsidP="005E6A5C">
            <w:pPr>
              <w:tabs>
                <w:tab w:val="left" w:pos="1800"/>
              </w:tabs>
              <w:cnfStyle w:val="000000000000" w:firstRow="0" w:lastRow="0" w:firstColumn="0" w:lastColumn="0" w:oddVBand="0" w:evenVBand="0" w:oddHBand="0" w:evenHBand="0" w:firstRowFirstColumn="0" w:firstRowLastColumn="0" w:lastRowFirstColumn="0" w:lastRowLastColumn="0"/>
            </w:pPr>
            <w:r>
              <w:t>1 case closed day after reported</w:t>
            </w:r>
            <w:r w:rsidR="005E6A5C">
              <w:t>, 1</w:t>
            </w:r>
            <w:r>
              <w:t xml:space="preserve"> not considered a hate crime</w:t>
            </w:r>
            <w:r w:rsidR="00052133">
              <w:t xml:space="preserve"> by victim</w:t>
            </w:r>
          </w:p>
        </w:tc>
      </w:tr>
      <w:tr w:rsidR="003D3D02" w:rsidRPr="00586907" w14:paraId="6D587DB1" w14:textId="77777777" w:rsidTr="004E3B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0" w:type="dxa"/>
            <w:tcBorders>
              <w:top w:val="double" w:sz="4" w:space="0" w:color="auto"/>
              <w:bottom w:val="double" w:sz="4" w:space="0" w:color="auto"/>
            </w:tcBorders>
          </w:tcPr>
          <w:p w14:paraId="585006DD" w14:textId="0685B8C5" w:rsidR="003D3D02" w:rsidRDefault="003D3D02" w:rsidP="00C02DBD">
            <w:pPr>
              <w:tabs>
                <w:tab w:val="left" w:pos="1800"/>
              </w:tabs>
              <w:rPr>
                <w:b w:val="0"/>
              </w:rPr>
            </w:pPr>
            <w:r>
              <w:rPr>
                <w:b w:val="0"/>
              </w:rPr>
              <w:t>Supervisor regularly endorsed crime log</w:t>
            </w:r>
          </w:p>
        </w:tc>
        <w:tc>
          <w:tcPr>
            <w:tcW w:w="1323" w:type="dxa"/>
            <w:tcBorders>
              <w:top w:val="double" w:sz="4" w:space="0" w:color="auto"/>
              <w:bottom w:val="double" w:sz="4" w:space="0" w:color="auto"/>
            </w:tcBorders>
          </w:tcPr>
          <w:p w14:paraId="1124356A" w14:textId="23832F50" w:rsidR="003D3D02" w:rsidRDefault="004E3B76" w:rsidP="00C02DBD">
            <w:pPr>
              <w:tabs>
                <w:tab w:val="left" w:pos="1800"/>
              </w:tabs>
              <w:jc w:val="center"/>
              <w:cnfStyle w:val="000000100000" w:firstRow="0" w:lastRow="0" w:firstColumn="0" w:lastColumn="0" w:oddVBand="0" w:evenVBand="0" w:oddHBand="1" w:evenHBand="0" w:firstRowFirstColumn="0" w:firstRowLastColumn="0" w:lastRowFirstColumn="0" w:lastRowLastColumn="0"/>
            </w:pPr>
            <w:r>
              <w:t>11</w:t>
            </w:r>
          </w:p>
        </w:tc>
        <w:tc>
          <w:tcPr>
            <w:tcW w:w="8514" w:type="dxa"/>
            <w:tcBorders>
              <w:top w:val="double" w:sz="4" w:space="0" w:color="auto"/>
              <w:bottom w:val="double" w:sz="4" w:space="0" w:color="auto"/>
            </w:tcBorders>
          </w:tcPr>
          <w:p w14:paraId="3521D0EA" w14:textId="77777777" w:rsidR="003D3D02" w:rsidRDefault="003D3D02" w:rsidP="00586907">
            <w:pPr>
              <w:tabs>
                <w:tab w:val="left" w:pos="1800"/>
              </w:tabs>
              <w:cnfStyle w:val="000000100000" w:firstRow="0" w:lastRow="0" w:firstColumn="0" w:lastColumn="0" w:oddVBand="0" w:evenVBand="0" w:oddHBand="1" w:evenHBand="0" w:firstRowFirstColumn="0" w:firstRowLastColumn="0" w:lastRowFirstColumn="0" w:lastRowLastColumn="0"/>
            </w:pPr>
          </w:p>
        </w:tc>
      </w:tr>
      <w:tr w:rsidR="003D3D02" w:rsidRPr="00586907" w14:paraId="1CB04849" w14:textId="77777777" w:rsidTr="004E3B76">
        <w:trPr>
          <w:jc w:val="center"/>
        </w:trPr>
        <w:tc>
          <w:tcPr>
            <w:cnfStyle w:val="001000000000" w:firstRow="0" w:lastRow="0" w:firstColumn="1" w:lastColumn="0" w:oddVBand="0" w:evenVBand="0" w:oddHBand="0" w:evenHBand="0" w:firstRowFirstColumn="0" w:firstRowLastColumn="0" w:lastRowFirstColumn="0" w:lastRowLastColumn="0"/>
            <w:tcW w:w="4720" w:type="dxa"/>
            <w:tcBorders>
              <w:top w:val="double" w:sz="4" w:space="0" w:color="auto"/>
            </w:tcBorders>
          </w:tcPr>
          <w:p w14:paraId="19AD4B4E" w14:textId="471C2081" w:rsidR="003D3D02" w:rsidRDefault="008C1178" w:rsidP="00C02DBD">
            <w:pPr>
              <w:tabs>
                <w:tab w:val="left" w:pos="1800"/>
              </w:tabs>
              <w:rPr>
                <w:b w:val="0"/>
              </w:rPr>
            </w:pPr>
            <w:r>
              <w:rPr>
                <w:b w:val="0"/>
              </w:rPr>
              <w:t>Victim contract agreed</w:t>
            </w:r>
          </w:p>
        </w:tc>
        <w:tc>
          <w:tcPr>
            <w:tcW w:w="1323" w:type="dxa"/>
            <w:tcBorders>
              <w:top w:val="double" w:sz="4" w:space="0" w:color="auto"/>
            </w:tcBorders>
          </w:tcPr>
          <w:p w14:paraId="282EA6DC" w14:textId="2432A2CA" w:rsidR="003D3D02" w:rsidRDefault="008C1178" w:rsidP="00C02DBD">
            <w:pPr>
              <w:tabs>
                <w:tab w:val="left" w:pos="1800"/>
              </w:tabs>
              <w:jc w:val="center"/>
              <w:cnfStyle w:val="000000000000" w:firstRow="0" w:lastRow="0" w:firstColumn="0" w:lastColumn="0" w:oddVBand="0" w:evenVBand="0" w:oddHBand="0" w:evenHBand="0" w:firstRowFirstColumn="0" w:firstRowLastColumn="0" w:lastRowFirstColumn="0" w:lastRowLastColumn="0"/>
            </w:pPr>
            <w:r>
              <w:t>8</w:t>
            </w:r>
          </w:p>
        </w:tc>
        <w:tc>
          <w:tcPr>
            <w:tcW w:w="8514" w:type="dxa"/>
            <w:tcBorders>
              <w:top w:val="double" w:sz="4" w:space="0" w:color="auto"/>
            </w:tcBorders>
          </w:tcPr>
          <w:p w14:paraId="20C41041" w14:textId="77777777" w:rsidR="003D3D02" w:rsidRDefault="003D3D02" w:rsidP="00586907">
            <w:pPr>
              <w:tabs>
                <w:tab w:val="left" w:pos="1800"/>
              </w:tabs>
              <w:cnfStyle w:val="000000000000" w:firstRow="0" w:lastRow="0" w:firstColumn="0" w:lastColumn="0" w:oddVBand="0" w:evenVBand="0" w:oddHBand="0" w:evenHBand="0" w:firstRowFirstColumn="0" w:firstRowLastColumn="0" w:lastRowFirstColumn="0" w:lastRowLastColumn="0"/>
            </w:pPr>
          </w:p>
        </w:tc>
      </w:tr>
      <w:tr w:rsidR="003D3D02" w:rsidRPr="00586907" w14:paraId="5881AB81" w14:textId="77777777" w:rsidTr="005E6A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0" w:type="dxa"/>
          </w:tcPr>
          <w:p w14:paraId="47F9BAF0" w14:textId="58491930" w:rsidR="003D3D02" w:rsidRDefault="008C1178" w:rsidP="00C02DBD">
            <w:pPr>
              <w:tabs>
                <w:tab w:val="left" w:pos="1800"/>
              </w:tabs>
              <w:rPr>
                <w:b w:val="0"/>
              </w:rPr>
            </w:pPr>
            <w:r>
              <w:rPr>
                <w:b w:val="0"/>
              </w:rPr>
              <w:t>Victim contract not applicable</w:t>
            </w:r>
            <w:bookmarkStart w:id="5" w:name="_GoBack"/>
            <w:bookmarkEnd w:id="5"/>
          </w:p>
        </w:tc>
        <w:tc>
          <w:tcPr>
            <w:tcW w:w="1323" w:type="dxa"/>
          </w:tcPr>
          <w:p w14:paraId="528576CF" w14:textId="3EBE7102" w:rsidR="003D3D02" w:rsidRDefault="008C1178" w:rsidP="00C02DBD">
            <w:pPr>
              <w:tabs>
                <w:tab w:val="left" w:pos="1800"/>
              </w:tabs>
              <w:jc w:val="center"/>
              <w:cnfStyle w:val="000000100000" w:firstRow="0" w:lastRow="0" w:firstColumn="0" w:lastColumn="0" w:oddVBand="0" w:evenVBand="0" w:oddHBand="1" w:evenHBand="0" w:firstRowFirstColumn="0" w:firstRowLastColumn="0" w:lastRowFirstColumn="0" w:lastRowLastColumn="0"/>
            </w:pPr>
            <w:r>
              <w:t>2</w:t>
            </w:r>
          </w:p>
        </w:tc>
        <w:tc>
          <w:tcPr>
            <w:tcW w:w="8514" w:type="dxa"/>
          </w:tcPr>
          <w:p w14:paraId="652BB312" w14:textId="40F5788D" w:rsidR="00432501" w:rsidRDefault="005E6A5C" w:rsidP="00586907">
            <w:pPr>
              <w:tabs>
                <w:tab w:val="left" w:pos="1800"/>
              </w:tabs>
              <w:cnfStyle w:val="000000100000" w:firstRow="0" w:lastRow="0" w:firstColumn="0" w:lastColumn="0" w:oddVBand="0" w:evenVBand="0" w:oddHBand="1" w:evenHBand="0" w:firstRowFirstColumn="0" w:firstRowLastColumn="0" w:lastRowFirstColumn="0" w:lastRowLastColumn="0"/>
            </w:pPr>
            <w:r>
              <w:t>Both a</w:t>
            </w:r>
            <w:r w:rsidR="00432501">
              <w:t>greed with victims that no further action</w:t>
            </w:r>
            <w:r>
              <w:t xml:space="preserve"> (NFA)</w:t>
            </w:r>
            <w:r w:rsidR="00432501">
              <w:t xml:space="preserve"> would be taken</w:t>
            </w:r>
          </w:p>
        </w:tc>
      </w:tr>
      <w:tr w:rsidR="008C1178" w:rsidRPr="00586907" w14:paraId="1E9931B5" w14:textId="77777777" w:rsidTr="005E6A5C">
        <w:trPr>
          <w:jc w:val="center"/>
        </w:trPr>
        <w:tc>
          <w:tcPr>
            <w:cnfStyle w:val="001000000000" w:firstRow="0" w:lastRow="0" w:firstColumn="1" w:lastColumn="0" w:oddVBand="0" w:evenVBand="0" w:oddHBand="0" w:evenHBand="0" w:firstRowFirstColumn="0" w:firstRowLastColumn="0" w:lastRowFirstColumn="0" w:lastRowLastColumn="0"/>
            <w:tcW w:w="4720" w:type="dxa"/>
            <w:tcBorders>
              <w:bottom w:val="double" w:sz="4" w:space="0" w:color="auto"/>
            </w:tcBorders>
          </w:tcPr>
          <w:p w14:paraId="51862246" w14:textId="09824DA5" w:rsidR="008C1178" w:rsidRDefault="008C1178" w:rsidP="008C1178">
            <w:pPr>
              <w:tabs>
                <w:tab w:val="left" w:pos="1800"/>
              </w:tabs>
              <w:rPr>
                <w:b w:val="0"/>
              </w:rPr>
            </w:pPr>
            <w:r>
              <w:rPr>
                <w:b w:val="0"/>
              </w:rPr>
              <w:t>No evidence of victim contract</w:t>
            </w:r>
          </w:p>
        </w:tc>
        <w:tc>
          <w:tcPr>
            <w:tcW w:w="1323" w:type="dxa"/>
            <w:tcBorders>
              <w:bottom w:val="double" w:sz="4" w:space="0" w:color="auto"/>
            </w:tcBorders>
          </w:tcPr>
          <w:p w14:paraId="21DDB0D2" w14:textId="1694A595" w:rsidR="008C1178" w:rsidRDefault="008C1178" w:rsidP="008C1178">
            <w:pPr>
              <w:tabs>
                <w:tab w:val="left" w:pos="1800"/>
              </w:tabs>
              <w:jc w:val="center"/>
              <w:cnfStyle w:val="000000000000" w:firstRow="0" w:lastRow="0" w:firstColumn="0" w:lastColumn="0" w:oddVBand="0" w:evenVBand="0" w:oddHBand="0" w:evenHBand="0" w:firstRowFirstColumn="0" w:firstRowLastColumn="0" w:lastRowFirstColumn="0" w:lastRowLastColumn="0"/>
            </w:pPr>
            <w:r>
              <w:t>1</w:t>
            </w:r>
          </w:p>
        </w:tc>
        <w:tc>
          <w:tcPr>
            <w:tcW w:w="8514" w:type="dxa"/>
            <w:tcBorders>
              <w:bottom w:val="double" w:sz="4" w:space="0" w:color="auto"/>
            </w:tcBorders>
          </w:tcPr>
          <w:p w14:paraId="50D53683" w14:textId="70CDBB71" w:rsidR="008C1178" w:rsidRDefault="00F43FE0" w:rsidP="008C1178">
            <w:pPr>
              <w:tabs>
                <w:tab w:val="left" w:pos="1800"/>
              </w:tabs>
              <w:cnfStyle w:val="000000000000" w:firstRow="0" w:lastRow="0" w:firstColumn="0" w:lastColumn="0" w:oddVBand="0" w:evenVBand="0" w:oddHBand="0" w:evenHBand="0" w:firstRowFirstColumn="0" w:firstRowLastColumn="0" w:lastRowFirstColumn="0" w:lastRowLastColumn="0"/>
            </w:pPr>
            <w:r>
              <w:t>Case closed 5 days after incident</w:t>
            </w:r>
          </w:p>
        </w:tc>
      </w:tr>
      <w:tr w:rsidR="008C1178" w:rsidRPr="00586907" w14:paraId="640FC089" w14:textId="77777777" w:rsidTr="005E6A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0" w:type="dxa"/>
          </w:tcPr>
          <w:p w14:paraId="464EE0FC" w14:textId="6D0A4B3E" w:rsidR="008C1178" w:rsidRDefault="008C1178" w:rsidP="008C1178">
            <w:pPr>
              <w:tabs>
                <w:tab w:val="left" w:pos="1800"/>
              </w:tabs>
              <w:rPr>
                <w:b w:val="0"/>
              </w:rPr>
            </w:pPr>
            <w:r>
              <w:rPr>
                <w:b w:val="0"/>
              </w:rPr>
              <w:t>Victim updates in line with contract</w:t>
            </w:r>
          </w:p>
        </w:tc>
        <w:tc>
          <w:tcPr>
            <w:tcW w:w="1323" w:type="dxa"/>
          </w:tcPr>
          <w:p w14:paraId="5B19F119" w14:textId="2417E248" w:rsidR="008C1178" w:rsidRDefault="008C1178" w:rsidP="008C1178">
            <w:pPr>
              <w:tabs>
                <w:tab w:val="left" w:pos="1800"/>
              </w:tabs>
              <w:jc w:val="center"/>
              <w:cnfStyle w:val="000000100000" w:firstRow="0" w:lastRow="0" w:firstColumn="0" w:lastColumn="0" w:oddVBand="0" w:evenVBand="0" w:oddHBand="1" w:evenHBand="0" w:firstRowFirstColumn="0" w:firstRowLastColumn="0" w:lastRowFirstColumn="0" w:lastRowLastColumn="0"/>
            </w:pPr>
            <w:r>
              <w:t>7</w:t>
            </w:r>
          </w:p>
        </w:tc>
        <w:tc>
          <w:tcPr>
            <w:tcW w:w="8514" w:type="dxa"/>
          </w:tcPr>
          <w:p w14:paraId="0D4325D9" w14:textId="77777777" w:rsidR="008C1178" w:rsidRDefault="008C1178" w:rsidP="008C1178">
            <w:pPr>
              <w:tabs>
                <w:tab w:val="left" w:pos="1800"/>
              </w:tabs>
              <w:cnfStyle w:val="000000100000" w:firstRow="0" w:lastRow="0" w:firstColumn="0" w:lastColumn="0" w:oddVBand="0" w:evenVBand="0" w:oddHBand="1" w:evenHBand="0" w:firstRowFirstColumn="0" w:firstRowLastColumn="0" w:lastRowFirstColumn="0" w:lastRowLastColumn="0"/>
            </w:pPr>
          </w:p>
        </w:tc>
      </w:tr>
      <w:tr w:rsidR="008C1178" w:rsidRPr="00586907" w14:paraId="2286606F" w14:textId="77777777" w:rsidTr="005E6A5C">
        <w:trPr>
          <w:jc w:val="center"/>
        </w:trPr>
        <w:tc>
          <w:tcPr>
            <w:cnfStyle w:val="001000000000" w:firstRow="0" w:lastRow="0" w:firstColumn="1" w:lastColumn="0" w:oddVBand="0" w:evenVBand="0" w:oddHBand="0" w:evenHBand="0" w:firstRowFirstColumn="0" w:firstRowLastColumn="0" w:lastRowFirstColumn="0" w:lastRowLastColumn="0"/>
            <w:tcW w:w="4720" w:type="dxa"/>
          </w:tcPr>
          <w:p w14:paraId="4ECA6C4D" w14:textId="2F035018" w:rsidR="008C1178" w:rsidRDefault="008C1178" w:rsidP="008C1178">
            <w:pPr>
              <w:tabs>
                <w:tab w:val="left" w:pos="1800"/>
              </w:tabs>
              <w:rPr>
                <w:b w:val="0"/>
              </w:rPr>
            </w:pPr>
            <w:r>
              <w:rPr>
                <w:b w:val="0"/>
              </w:rPr>
              <w:t>Victim updates no</w:t>
            </w:r>
            <w:r w:rsidR="00432501">
              <w:rPr>
                <w:b w:val="0"/>
              </w:rPr>
              <w:t>t</w:t>
            </w:r>
            <w:r>
              <w:rPr>
                <w:b w:val="0"/>
              </w:rPr>
              <w:t xml:space="preserve"> applicable</w:t>
            </w:r>
          </w:p>
        </w:tc>
        <w:tc>
          <w:tcPr>
            <w:tcW w:w="1323" w:type="dxa"/>
          </w:tcPr>
          <w:p w14:paraId="46A9B385" w14:textId="4E0481EA" w:rsidR="008C1178" w:rsidRDefault="008C1178" w:rsidP="008C1178">
            <w:pPr>
              <w:tabs>
                <w:tab w:val="left" w:pos="1800"/>
              </w:tabs>
              <w:jc w:val="center"/>
              <w:cnfStyle w:val="000000000000" w:firstRow="0" w:lastRow="0" w:firstColumn="0" w:lastColumn="0" w:oddVBand="0" w:evenVBand="0" w:oddHBand="0" w:evenHBand="0" w:firstRowFirstColumn="0" w:firstRowLastColumn="0" w:lastRowFirstColumn="0" w:lastRowLastColumn="0"/>
            </w:pPr>
            <w:r>
              <w:t>3</w:t>
            </w:r>
          </w:p>
        </w:tc>
        <w:tc>
          <w:tcPr>
            <w:tcW w:w="8514" w:type="dxa"/>
          </w:tcPr>
          <w:p w14:paraId="7758BE38" w14:textId="09816FB1" w:rsidR="00F43FE0" w:rsidRDefault="00F43FE0" w:rsidP="005E6A5C">
            <w:pPr>
              <w:tabs>
                <w:tab w:val="left" w:pos="1800"/>
              </w:tabs>
              <w:cnfStyle w:val="000000000000" w:firstRow="0" w:lastRow="0" w:firstColumn="0" w:lastColumn="0" w:oddVBand="0" w:evenVBand="0" w:oddHBand="0" w:evenHBand="0" w:firstRowFirstColumn="0" w:firstRowLastColumn="0" w:lastRowFirstColumn="0" w:lastRowLastColumn="0"/>
            </w:pPr>
            <w:r>
              <w:t>1 case closed after 5 days</w:t>
            </w:r>
            <w:r w:rsidR="00432501">
              <w:t xml:space="preserve"> and two agreed </w:t>
            </w:r>
            <w:r w:rsidR="005E6A5C">
              <w:t>NFA</w:t>
            </w:r>
          </w:p>
        </w:tc>
      </w:tr>
      <w:tr w:rsidR="008C1178" w:rsidRPr="00586907" w14:paraId="18EB09F4" w14:textId="77777777" w:rsidTr="005E6A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0" w:type="dxa"/>
          </w:tcPr>
          <w:p w14:paraId="3CDB6C6C" w14:textId="77EDE6EB" w:rsidR="008C1178" w:rsidRDefault="008C1178" w:rsidP="005E6A5C">
            <w:pPr>
              <w:tabs>
                <w:tab w:val="left" w:pos="1800"/>
              </w:tabs>
              <w:rPr>
                <w:b w:val="0"/>
              </w:rPr>
            </w:pPr>
            <w:r>
              <w:rPr>
                <w:b w:val="0"/>
              </w:rPr>
              <w:t xml:space="preserve">Victim not updated in </w:t>
            </w:r>
            <w:r w:rsidR="005E6A5C">
              <w:rPr>
                <w:b w:val="0"/>
              </w:rPr>
              <w:t>line with</w:t>
            </w:r>
            <w:r>
              <w:rPr>
                <w:b w:val="0"/>
              </w:rPr>
              <w:t xml:space="preserve"> contract</w:t>
            </w:r>
          </w:p>
        </w:tc>
        <w:tc>
          <w:tcPr>
            <w:tcW w:w="1323" w:type="dxa"/>
          </w:tcPr>
          <w:p w14:paraId="48DB4BD1" w14:textId="3FA5050B" w:rsidR="008C1178" w:rsidRDefault="008C1178" w:rsidP="008C1178">
            <w:pPr>
              <w:tabs>
                <w:tab w:val="left" w:pos="1800"/>
              </w:tabs>
              <w:jc w:val="center"/>
              <w:cnfStyle w:val="000000100000" w:firstRow="0" w:lastRow="0" w:firstColumn="0" w:lastColumn="0" w:oddVBand="0" w:evenVBand="0" w:oddHBand="1" w:evenHBand="0" w:firstRowFirstColumn="0" w:firstRowLastColumn="0" w:lastRowFirstColumn="0" w:lastRowLastColumn="0"/>
            </w:pPr>
            <w:r>
              <w:t>1</w:t>
            </w:r>
          </w:p>
        </w:tc>
        <w:tc>
          <w:tcPr>
            <w:tcW w:w="8514" w:type="dxa"/>
          </w:tcPr>
          <w:p w14:paraId="1FF86FF0" w14:textId="4386CA67" w:rsidR="008C1178" w:rsidRDefault="00742B01" w:rsidP="00742B01">
            <w:pPr>
              <w:tabs>
                <w:tab w:val="left" w:pos="1800"/>
              </w:tabs>
              <w:cnfStyle w:val="000000100000" w:firstRow="0" w:lastRow="0" w:firstColumn="0" w:lastColumn="0" w:oddVBand="0" w:evenVBand="0" w:oddHBand="1" w:evenHBand="0" w:firstRowFirstColumn="0" w:firstRowLastColumn="0" w:lastRowFirstColumn="0" w:lastRowLastColumn="0"/>
            </w:pPr>
            <w:r>
              <w:t>Vulnerable victim</w:t>
            </w:r>
            <w:r w:rsidRPr="00742B01">
              <w:t xml:space="preserve"> preferred text contact rather than email</w:t>
            </w:r>
          </w:p>
        </w:tc>
      </w:tr>
    </w:tbl>
    <w:p w14:paraId="4FA9526A" w14:textId="2F2FFDFB" w:rsidR="005505C8" w:rsidRPr="005505C8" w:rsidRDefault="005505C8" w:rsidP="0052658A">
      <w:pPr>
        <w:tabs>
          <w:tab w:val="left" w:pos="1800"/>
        </w:tabs>
        <w:spacing w:before="100"/>
        <w:contextualSpacing/>
      </w:pPr>
    </w:p>
    <w:sectPr w:rsidR="005505C8" w:rsidRPr="005505C8" w:rsidSect="0052658A">
      <w:pgSz w:w="16840" w:h="11900" w:orient="landscape"/>
      <w:pgMar w:top="1440" w:right="1440" w:bottom="1440"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C538" w14:textId="77777777" w:rsidR="00AF3702" w:rsidRDefault="00AF3702">
      <w:pPr>
        <w:spacing w:after="0" w:line="240" w:lineRule="auto"/>
      </w:pPr>
      <w:r>
        <w:separator/>
      </w:r>
    </w:p>
  </w:endnote>
  <w:endnote w:type="continuationSeparator" w:id="0">
    <w:p w14:paraId="41702156" w14:textId="77777777" w:rsidR="00AF3702" w:rsidRDefault="00AF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1AEF" w14:textId="77777777" w:rsidR="00641B5B" w:rsidRDefault="0018260F">
    <w:pPr>
      <w:pStyle w:val="Footer"/>
      <w:tabs>
        <w:tab w:val="clear" w:pos="4513"/>
        <w:tab w:val="clear" w:pos="9026"/>
        <w:tab w:val="left" w:pos="3996"/>
      </w:tabs>
      <w:jc w:val="center"/>
      <w:rPr>
        <w:rFonts w:ascii="Arial" w:eastAsia="Arial" w:hAnsi="Arial" w:cs="Arial"/>
        <w:caps/>
        <w:sz w:val="20"/>
        <w:szCs w:val="20"/>
      </w:rPr>
    </w:pPr>
    <w:r>
      <w:rPr>
        <w:rFonts w:ascii="Arial" w:hAnsi="Arial"/>
        <w:caps/>
        <w:sz w:val="20"/>
        <w:szCs w:val="20"/>
      </w:rPr>
      <w:t>OFFICIAL-SENSITIVE Operational</w:t>
    </w:r>
  </w:p>
  <w:p w14:paraId="62ED08E1" w14:textId="77777777" w:rsidR="00641B5B" w:rsidRDefault="0018260F">
    <w:pPr>
      <w:pStyle w:val="Footer"/>
      <w:tabs>
        <w:tab w:val="clear" w:pos="4513"/>
        <w:tab w:val="clear" w:pos="9026"/>
        <w:tab w:val="left" w:pos="3996"/>
      </w:tabs>
      <w:jc w:val="center"/>
    </w:pPr>
    <w:r>
      <w:rPr>
        <w:b/>
        <w:bCs/>
        <w:caps/>
        <w:color w:val="FF0000"/>
        <w:sz w:val="20"/>
        <w:szCs w:val="20"/>
        <w:u w:color="FF0000"/>
      </w:rPr>
      <w:t>official sensitive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5D38" w14:textId="77777777" w:rsidR="00641B5B" w:rsidRDefault="0018260F">
    <w:pPr>
      <w:pStyle w:val="Footer"/>
      <w:tabs>
        <w:tab w:val="clear" w:pos="4513"/>
        <w:tab w:val="clear" w:pos="9026"/>
        <w:tab w:val="left" w:pos="3996"/>
      </w:tabs>
      <w:jc w:val="center"/>
      <w:rPr>
        <w:rFonts w:ascii="Arial" w:eastAsia="Arial" w:hAnsi="Arial" w:cs="Arial"/>
        <w:caps/>
        <w:sz w:val="20"/>
        <w:szCs w:val="20"/>
      </w:rPr>
    </w:pPr>
    <w:r>
      <w:rPr>
        <w:rFonts w:ascii="Arial" w:hAnsi="Arial"/>
        <w:caps/>
        <w:sz w:val="20"/>
        <w:szCs w:val="20"/>
      </w:rPr>
      <w:t>OFFICIAL-SENSITIVE Operational</w:t>
    </w:r>
  </w:p>
  <w:p w14:paraId="349EE564" w14:textId="77777777" w:rsidR="00641B5B" w:rsidRDefault="0018260F">
    <w:pPr>
      <w:pStyle w:val="Footer"/>
      <w:tabs>
        <w:tab w:val="clear" w:pos="4513"/>
        <w:tab w:val="clear" w:pos="9026"/>
        <w:tab w:val="left" w:pos="3996"/>
      </w:tabs>
      <w:jc w:val="center"/>
    </w:pPr>
    <w:r>
      <w:rPr>
        <w:b/>
        <w:bCs/>
        <w:caps/>
        <w:color w:val="FF0000"/>
        <w:sz w:val="20"/>
        <w:szCs w:val="20"/>
        <w:u w:color="FF0000"/>
      </w:rPr>
      <w:t>official sensitive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5B05" w14:textId="020F32BA" w:rsidR="00641B5B" w:rsidRDefault="0018260F">
    <w:pPr>
      <w:pStyle w:val="Header"/>
    </w:pPr>
    <w:r>
      <w:rPr>
        <w:rFonts w:ascii="Arial" w:eastAsia="Arial" w:hAnsi="Arial" w:cs="Arial"/>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052133">
      <w:rPr>
        <w:rFonts w:ascii="Arial" w:eastAsia="Arial" w:hAnsi="Arial" w:cs="Arial"/>
        <w:noProof/>
        <w:sz w:val="18"/>
        <w:szCs w:val="18"/>
      </w:rPr>
      <w:t>2</w:t>
    </w:r>
    <w:r>
      <w:rPr>
        <w:rFonts w:ascii="Arial" w:eastAsia="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893E" w14:textId="500AC465" w:rsidR="00641B5B" w:rsidRDefault="0018260F">
    <w:pPr>
      <w:pStyle w:val="Header"/>
    </w:pPr>
    <w:r>
      <w:rPr>
        <w:rFonts w:eastAsia="Verdana" w:cs="Verdana"/>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576ACC">
      <w:rPr>
        <w:rFonts w:ascii="Arial" w:eastAsia="Arial" w:hAnsi="Arial" w:cs="Arial"/>
        <w:noProof/>
        <w:sz w:val="18"/>
        <w:szCs w:val="18"/>
      </w:rPr>
      <w:t>3</w:t>
    </w:r>
    <w:r>
      <w:rPr>
        <w:rFonts w:ascii="Arial" w:eastAsia="Arial" w:hAnsi="Arial" w:cs="Arial"/>
        <w:sz w:val="18"/>
        <w:szCs w:val="18"/>
      </w:rPr>
      <w:fldChar w:fldCharType="end"/>
    </w:r>
  </w:p>
  <w:p w14:paraId="197ED7AF" w14:textId="77777777" w:rsidR="00D44009" w:rsidRDefault="00D44009"/>
  <w:p w14:paraId="322504FB" w14:textId="77777777" w:rsidR="00D44009" w:rsidRDefault="00D4400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9B2E" w14:textId="3CC47B5A" w:rsidR="00641B5B" w:rsidRDefault="0018260F" w:rsidP="0052658A">
    <w:pPr>
      <w:pStyle w:val="Header"/>
      <w:jc w:val="center"/>
    </w:pP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0323EE">
      <w:rPr>
        <w:rFonts w:ascii="Arial" w:eastAsia="Arial" w:hAnsi="Arial" w:cs="Arial"/>
        <w:noProof/>
        <w:sz w:val="18"/>
        <w:szCs w:val="18"/>
      </w:rPr>
      <w:t>3</w:t>
    </w:r>
    <w:r>
      <w:rPr>
        <w:rFonts w:ascii="Arial" w:eastAsia="Arial" w:hAnsi="Arial" w:cs="Arial"/>
        <w:sz w:val="18"/>
        <w:szCs w:val="18"/>
      </w:rPr>
      <w:fldChar w:fldCharType="end"/>
    </w:r>
  </w:p>
  <w:p w14:paraId="7A73279F" w14:textId="77777777" w:rsidR="00D44009" w:rsidRDefault="00D44009"/>
  <w:p w14:paraId="2EC3FEF7" w14:textId="77777777" w:rsidR="00D44009" w:rsidRDefault="00D440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874C" w14:textId="77777777" w:rsidR="00AF3702" w:rsidRDefault="00AF3702">
      <w:r>
        <w:separator/>
      </w:r>
    </w:p>
  </w:footnote>
  <w:footnote w:type="continuationSeparator" w:id="0">
    <w:p w14:paraId="407695BA" w14:textId="77777777" w:rsidR="00AF3702" w:rsidRDefault="00AF3702">
      <w:r>
        <w:continuationSeparator/>
      </w:r>
    </w:p>
  </w:footnote>
  <w:footnote w:type="continuationNotice" w:id="1">
    <w:p w14:paraId="5857415E" w14:textId="77777777" w:rsidR="00AF3702" w:rsidRDefault="00AF37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C28D" w14:textId="77777777" w:rsidR="00641B5B" w:rsidRDefault="0018260F">
    <w:pPr>
      <w:pStyle w:val="Header"/>
      <w:jc w:val="center"/>
      <w:rPr>
        <w:rFonts w:ascii="Arial" w:eastAsia="Arial" w:hAnsi="Arial" w:cs="Arial"/>
        <w:sz w:val="20"/>
        <w:szCs w:val="20"/>
      </w:rPr>
    </w:pPr>
    <w:r>
      <w:rPr>
        <w:b/>
        <w:bCs/>
        <w:caps/>
        <w:noProof/>
        <w:sz w:val="20"/>
        <w:szCs w:val="20"/>
        <w:lang w:val="en-GB"/>
      </w:rPr>
      <w:drawing>
        <wp:anchor distT="152400" distB="152400" distL="152400" distR="152400" simplePos="0" relativeHeight="251656192" behindDoc="1" locked="0" layoutInCell="1" allowOverlap="1" wp14:anchorId="070D9852" wp14:editId="2F99278E">
          <wp:simplePos x="0" y="0"/>
          <wp:positionH relativeFrom="page">
            <wp:posOffset>4146550</wp:posOffset>
          </wp:positionH>
          <wp:positionV relativeFrom="page">
            <wp:posOffset>110490</wp:posOffset>
          </wp:positionV>
          <wp:extent cx="1300481" cy="6546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1300481" cy="654685"/>
                  </a:xfrm>
                  <a:prstGeom prst="rect">
                    <a:avLst/>
                  </a:prstGeom>
                  <a:ln w="12700" cap="flat">
                    <a:noFill/>
                    <a:miter lim="400000"/>
                  </a:ln>
                  <a:effectLst/>
                </pic:spPr>
              </pic:pic>
            </a:graphicData>
          </a:graphic>
        </wp:anchor>
      </w:drawing>
    </w:r>
    <w:r>
      <w:rPr>
        <w:rFonts w:ascii="Arial" w:hAnsi="Arial"/>
        <w:sz w:val="20"/>
        <w:szCs w:val="20"/>
      </w:rPr>
      <w:t>OFFICIAL-SENSITIVE Operational</w:t>
    </w:r>
  </w:p>
  <w:p w14:paraId="437E5D89" w14:textId="77777777" w:rsidR="00641B5B" w:rsidRDefault="00641B5B">
    <w:pPr>
      <w:pStyle w:val="Header"/>
      <w:rPr>
        <w:rFonts w:ascii="Arial" w:eastAsia="Arial" w:hAnsi="Arial" w:cs="Arial"/>
        <w:sz w:val="20"/>
        <w:szCs w:val="20"/>
      </w:rPr>
    </w:pPr>
  </w:p>
  <w:p w14:paraId="61D72117" w14:textId="77777777" w:rsidR="00641B5B" w:rsidRDefault="0018260F">
    <w:pPr>
      <w:pStyle w:val="Header"/>
      <w:rPr>
        <w:b/>
        <w:bCs/>
        <w:caps/>
        <w:sz w:val="20"/>
        <w:szCs w:val="20"/>
      </w:rPr>
    </w:pPr>
    <w:r>
      <w:t>November 2017</w:t>
    </w:r>
    <w:r>
      <w:tab/>
    </w:r>
    <w:r>
      <w:rPr>
        <w:b/>
        <w:bCs/>
        <w:caps/>
        <w:sz w:val="20"/>
        <w:szCs w:val="20"/>
      </w:rPr>
      <w:t>SCRUTINY panel report</w:t>
    </w:r>
  </w:p>
  <w:p w14:paraId="151D64C5" w14:textId="77777777" w:rsidR="00641B5B" w:rsidRDefault="0018260F">
    <w:pPr>
      <w:pStyle w:val="Header"/>
      <w:rPr>
        <w:b/>
        <w:bCs/>
        <w:caps/>
        <w:sz w:val="20"/>
        <w:szCs w:val="20"/>
      </w:rPr>
    </w:pPr>
    <w:r>
      <w:rPr>
        <w:b/>
        <w:bCs/>
        <w:caps/>
        <w:sz w:val="20"/>
        <w:szCs w:val="20"/>
      </w:rPr>
      <w:t xml:space="preserve">quarter 2 </w:t>
    </w:r>
  </w:p>
  <w:p w14:paraId="23AFA53F" w14:textId="77777777" w:rsidR="00641B5B" w:rsidRDefault="0018260F">
    <w:pPr>
      <w:pStyle w:val="Header"/>
    </w:pPr>
    <w:r>
      <w:rPr>
        <w:b/>
        <w:bCs/>
        <w:caps/>
        <w:color w:val="FF0000"/>
        <w:sz w:val="20"/>
        <w:szCs w:val="20"/>
        <w:u w:color="FF0000"/>
      </w:rP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0433" w14:textId="77777777" w:rsidR="00641B5B" w:rsidRDefault="0018260F">
    <w:pPr>
      <w:pStyle w:val="Header"/>
      <w:jc w:val="center"/>
      <w:rPr>
        <w:rFonts w:ascii="Arial" w:eastAsia="Arial" w:hAnsi="Arial" w:cs="Arial"/>
        <w:sz w:val="20"/>
        <w:szCs w:val="20"/>
      </w:rPr>
    </w:pPr>
    <w:r>
      <w:rPr>
        <w:b/>
        <w:bCs/>
        <w:caps/>
        <w:noProof/>
        <w:sz w:val="20"/>
        <w:szCs w:val="20"/>
        <w:lang w:val="en-GB"/>
      </w:rPr>
      <w:drawing>
        <wp:anchor distT="152400" distB="152400" distL="152400" distR="152400" simplePos="0" relativeHeight="251657216" behindDoc="1" locked="0" layoutInCell="1" allowOverlap="1" wp14:anchorId="218F3B0B" wp14:editId="0ED8E147">
          <wp:simplePos x="0" y="0"/>
          <wp:positionH relativeFrom="page">
            <wp:posOffset>4146550</wp:posOffset>
          </wp:positionH>
          <wp:positionV relativeFrom="page">
            <wp:posOffset>110490</wp:posOffset>
          </wp:positionV>
          <wp:extent cx="1300481" cy="6546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300481" cy="654685"/>
                  </a:xfrm>
                  <a:prstGeom prst="rect">
                    <a:avLst/>
                  </a:prstGeom>
                  <a:ln w="12700" cap="flat">
                    <a:noFill/>
                    <a:miter lim="400000"/>
                  </a:ln>
                  <a:effectLst/>
                </pic:spPr>
              </pic:pic>
            </a:graphicData>
          </a:graphic>
        </wp:anchor>
      </w:drawing>
    </w:r>
    <w:r>
      <w:rPr>
        <w:rFonts w:ascii="Arial" w:hAnsi="Arial"/>
        <w:sz w:val="20"/>
        <w:szCs w:val="20"/>
      </w:rPr>
      <w:t>OFFICIAL-SENSITIVE Operational</w:t>
    </w:r>
  </w:p>
  <w:p w14:paraId="1C25C650" w14:textId="77777777" w:rsidR="00641B5B" w:rsidRDefault="00641B5B">
    <w:pPr>
      <w:pStyle w:val="Header"/>
      <w:rPr>
        <w:rFonts w:ascii="Arial" w:eastAsia="Arial" w:hAnsi="Arial" w:cs="Arial"/>
        <w:sz w:val="20"/>
        <w:szCs w:val="20"/>
      </w:rPr>
    </w:pPr>
  </w:p>
  <w:p w14:paraId="70359DDC" w14:textId="77777777" w:rsidR="00641B5B" w:rsidRDefault="0018260F">
    <w:pPr>
      <w:pStyle w:val="Header"/>
      <w:rPr>
        <w:b/>
        <w:bCs/>
        <w:caps/>
        <w:sz w:val="20"/>
        <w:szCs w:val="20"/>
      </w:rPr>
    </w:pPr>
    <w:r>
      <w:t>November 2017</w:t>
    </w:r>
    <w:r>
      <w:tab/>
    </w:r>
    <w:r>
      <w:rPr>
        <w:b/>
        <w:bCs/>
        <w:caps/>
        <w:sz w:val="20"/>
        <w:szCs w:val="20"/>
      </w:rPr>
      <w:t>SCRUTINY panel report</w:t>
    </w:r>
  </w:p>
  <w:p w14:paraId="53F606F8" w14:textId="77777777" w:rsidR="00641B5B" w:rsidRDefault="0018260F">
    <w:pPr>
      <w:pStyle w:val="Header"/>
      <w:rPr>
        <w:b/>
        <w:bCs/>
        <w:caps/>
        <w:sz w:val="20"/>
        <w:szCs w:val="20"/>
      </w:rPr>
    </w:pPr>
    <w:r>
      <w:rPr>
        <w:b/>
        <w:bCs/>
        <w:caps/>
        <w:sz w:val="20"/>
        <w:szCs w:val="20"/>
      </w:rPr>
      <w:t xml:space="preserve">quarter 2 </w:t>
    </w:r>
  </w:p>
  <w:p w14:paraId="20763049" w14:textId="77777777" w:rsidR="00641B5B" w:rsidRDefault="0018260F">
    <w:pPr>
      <w:pStyle w:val="Header"/>
    </w:pPr>
    <w:r>
      <w:rPr>
        <w:b/>
        <w:bCs/>
        <w:caps/>
        <w:color w:val="FF0000"/>
        <w:sz w:val="20"/>
        <w:szCs w:val="20"/>
        <w:u w:color="FF0000"/>
      </w:rPr>
      <w:t>official sensitive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6539" w14:textId="19505280" w:rsidR="005C2978" w:rsidRDefault="005C2978" w:rsidP="005C2978">
    <w:pPr>
      <w:pStyle w:val="Header"/>
      <w:tabs>
        <w:tab w:val="clear" w:pos="4513"/>
        <w:tab w:val="clear" w:pos="9026"/>
        <w:tab w:val="left" w:pos="1040"/>
      </w:tabs>
      <w:rPr>
        <w:rFonts w:ascii="Arial" w:eastAsia="Arial" w:hAnsi="Arial" w:cs="Arial"/>
        <w:sz w:val="20"/>
        <w:szCs w:val="20"/>
      </w:rPr>
    </w:pPr>
  </w:p>
  <w:tbl>
    <w:tblPr>
      <w:tblW w:w="5039" w:type="pct"/>
      <w:tblCellMar>
        <w:top w:w="72" w:type="dxa"/>
        <w:left w:w="115" w:type="dxa"/>
        <w:bottom w:w="72" w:type="dxa"/>
        <w:right w:w="115" w:type="dxa"/>
      </w:tblCellMar>
      <w:tblLook w:val="04A0" w:firstRow="1" w:lastRow="0" w:firstColumn="1" w:lastColumn="0" w:noHBand="0" w:noVBand="1"/>
    </w:tblPr>
    <w:tblGrid>
      <w:gridCol w:w="2705"/>
      <w:gridCol w:w="6385"/>
    </w:tblGrid>
    <w:tr w:rsidR="005C2978" w:rsidRPr="00797A05" w14:paraId="0E60529D" w14:textId="77777777" w:rsidTr="000C37BC">
      <w:trPr>
        <w:trHeight w:val="489"/>
      </w:trPr>
      <w:tc>
        <w:tcPr>
          <w:tcW w:w="1488" w:type="pct"/>
          <w:tcBorders>
            <w:bottom w:val="single" w:sz="4" w:space="0" w:color="943634"/>
          </w:tcBorders>
          <w:shd w:val="clear" w:color="auto" w:fill="548DD4"/>
          <w:vAlign w:val="bottom"/>
        </w:tcPr>
        <w:p w14:paraId="7FED39A1" w14:textId="77777777" w:rsidR="005C2978" w:rsidRDefault="005C2978" w:rsidP="005C2978">
          <w:pPr>
            <w:pStyle w:val="Header"/>
            <w:rPr>
              <w:rFonts w:ascii="Arial" w:hAnsi="Arial" w:cs="Arial"/>
              <w:sz w:val="20"/>
            </w:rPr>
          </w:pPr>
          <w:bookmarkStart w:id="0" w:name="TITUS1HeaderFirstPage"/>
        </w:p>
        <w:bookmarkEnd w:id="0"/>
        <w:p w14:paraId="4AC8C727" w14:textId="72519CF3" w:rsidR="005C2978" w:rsidRPr="00797A05" w:rsidRDefault="00F84089" w:rsidP="005C2978">
          <w:pPr>
            <w:pStyle w:val="Header"/>
            <w:jc w:val="right"/>
            <w:rPr>
              <w:color w:val="FFFFFF"/>
            </w:rPr>
          </w:pPr>
          <w:r>
            <w:rPr>
              <w:color w:val="FFFFFF"/>
            </w:rPr>
            <w:t>September</w:t>
          </w:r>
          <w:r w:rsidR="005C2978">
            <w:rPr>
              <w:color w:val="FFFFFF"/>
            </w:rPr>
            <w:t xml:space="preserve"> 2019</w:t>
          </w:r>
        </w:p>
      </w:tc>
      <w:tc>
        <w:tcPr>
          <w:tcW w:w="3512" w:type="pct"/>
          <w:tcBorders>
            <w:bottom w:val="single" w:sz="4" w:space="0" w:color="auto"/>
          </w:tcBorders>
          <w:vAlign w:val="bottom"/>
        </w:tcPr>
        <w:p w14:paraId="1600D546" w14:textId="77777777" w:rsidR="00260172" w:rsidRDefault="00260172" w:rsidP="00260172">
          <w:pPr>
            <w:pStyle w:val="Header"/>
            <w:rPr>
              <w:rFonts w:cs="Arial"/>
              <w:b/>
              <w:bCs/>
              <w:caps/>
              <w:sz w:val="20"/>
            </w:rPr>
          </w:pPr>
        </w:p>
        <w:p w14:paraId="25FDA2EE" w14:textId="61AF1D38" w:rsidR="005C2978" w:rsidRPr="00797A05" w:rsidRDefault="005C2978" w:rsidP="00260172">
          <w:pPr>
            <w:pStyle w:val="Header"/>
            <w:rPr>
              <w:rFonts w:cs="Arial"/>
              <w:b/>
              <w:bCs/>
              <w:caps/>
              <w:sz w:val="20"/>
            </w:rPr>
          </w:pPr>
          <w:r>
            <w:rPr>
              <w:noProof/>
              <w:lang w:val="en-GB"/>
            </w:rPr>
            <w:drawing>
              <wp:anchor distT="0" distB="0" distL="114300" distR="114300" simplePos="0" relativeHeight="251658240" behindDoc="1" locked="0" layoutInCell="1" allowOverlap="1" wp14:anchorId="6FC1FBFE" wp14:editId="78D908E2">
                <wp:simplePos x="0" y="0"/>
                <wp:positionH relativeFrom="column">
                  <wp:posOffset>3232150</wp:posOffset>
                </wp:positionH>
                <wp:positionV relativeFrom="paragraph">
                  <wp:posOffset>-339090</wp:posOffset>
                </wp:positionV>
                <wp:extent cx="1300480" cy="654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172">
            <w:rPr>
              <w:rFonts w:cs="Arial"/>
              <w:b/>
              <w:bCs/>
              <w:caps/>
              <w:sz w:val="20"/>
            </w:rPr>
            <w:t>OPCC snapshot review</w:t>
          </w:r>
        </w:p>
      </w:tc>
    </w:tr>
  </w:tbl>
  <w:p w14:paraId="204E15D2" w14:textId="77777777" w:rsidR="005C2978" w:rsidRDefault="005C2978" w:rsidP="005C29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8437" w14:textId="77777777" w:rsidR="00D44009" w:rsidRDefault="00D44009"/>
  <w:p w14:paraId="33210C6C" w14:textId="77777777" w:rsidR="00D44009" w:rsidRDefault="00D4400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2DE2" w14:textId="77777777" w:rsidR="00641B5B" w:rsidRDefault="00641B5B">
    <w:pPr>
      <w:pStyle w:val="HeaderFooter"/>
    </w:pPr>
  </w:p>
  <w:p w14:paraId="57870853" w14:textId="77777777" w:rsidR="00D44009" w:rsidRDefault="00D44009"/>
  <w:p w14:paraId="72572E18" w14:textId="77777777" w:rsidR="00D44009" w:rsidRDefault="00D4400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9E2F" w14:textId="77777777" w:rsidR="00D44009" w:rsidRPr="001F1510" w:rsidRDefault="00D44009" w:rsidP="001F1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2E5"/>
    <w:multiLevelType w:val="hybridMultilevel"/>
    <w:tmpl w:val="07D2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55301"/>
    <w:multiLevelType w:val="hybridMultilevel"/>
    <w:tmpl w:val="4D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D260C"/>
    <w:multiLevelType w:val="hybridMultilevel"/>
    <w:tmpl w:val="855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C10AB"/>
    <w:multiLevelType w:val="hybridMultilevel"/>
    <w:tmpl w:val="40A2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4C533B"/>
    <w:multiLevelType w:val="hybridMultilevel"/>
    <w:tmpl w:val="8DE4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6381A"/>
    <w:multiLevelType w:val="hybridMultilevel"/>
    <w:tmpl w:val="A9E42A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62AC5"/>
    <w:multiLevelType w:val="hybridMultilevel"/>
    <w:tmpl w:val="0820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6312C"/>
    <w:multiLevelType w:val="hybridMultilevel"/>
    <w:tmpl w:val="525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34FFD"/>
    <w:multiLevelType w:val="hybridMultilevel"/>
    <w:tmpl w:val="C598FC38"/>
    <w:lvl w:ilvl="0" w:tplc="39C24B2A">
      <w:numFmt w:val="bullet"/>
      <w:lvlText w:val="•"/>
      <w:lvlJc w:val="left"/>
      <w:pPr>
        <w:ind w:left="1080" w:hanging="72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B391D"/>
    <w:multiLevelType w:val="hybridMultilevel"/>
    <w:tmpl w:val="90EE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E6536"/>
    <w:multiLevelType w:val="hybridMultilevel"/>
    <w:tmpl w:val="1976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20706"/>
    <w:multiLevelType w:val="hybridMultilevel"/>
    <w:tmpl w:val="608C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22047"/>
    <w:multiLevelType w:val="hybridMultilevel"/>
    <w:tmpl w:val="F30813E2"/>
    <w:styleLink w:val="ImportedStyle3"/>
    <w:lvl w:ilvl="0" w:tplc="0FEC389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232A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08C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E66D3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EAEE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247D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CDE4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2D59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445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9366991"/>
    <w:multiLevelType w:val="hybridMultilevel"/>
    <w:tmpl w:val="7A86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35116"/>
    <w:multiLevelType w:val="hybridMultilevel"/>
    <w:tmpl w:val="1E7C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B47EF"/>
    <w:multiLevelType w:val="multilevel"/>
    <w:tmpl w:val="EA44B326"/>
    <w:numStyleLink w:val="ImportedStyle1"/>
  </w:abstractNum>
  <w:abstractNum w:abstractNumId="17" w15:restartNumberingAfterBreak="0">
    <w:nsid w:val="55783461"/>
    <w:multiLevelType w:val="hybridMultilevel"/>
    <w:tmpl w:val="5206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D69D6"/>
    <w:multiLevelType w:val="hybridMultilevel"/>
    <w:tmpl w:val="F104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336BB"/>
    <w:multiLevelType w:val="hybridMultilevel"/>
    <w:tmpl w:val="F6B04CBC"/>
    <w:lvl w:ilvl="0" w:tplc="39C24B2A">
      <w:numFmt w:val="bullet"/>
      <w:lvlText w:val="•"/>
      <w:lvlJc w:val="left"/>
      <w:pPr>
        <w:ind w:left="1080" w:hanging="72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B135C"/>
    <w:multiLevelType w:val="hybridMultilevel"/>
    <w:tmpl w:val="EC7CF660"/>
    <w:styleLink w:val="ImportedStyle2"/>
    <w:lvl w:ilvl="0" w:tplc="787809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CD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2A8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EF3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82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205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4A29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E26D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EC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E223B50"/>
    <w:multiLevelType w:val="hybridMultilevel"/>
    <w:tmpl w:val="383C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lvlOverride w:ilvl="0">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0"/>
  </w:num>
  <w:num w:numId="4">
    <w:abstractNumId w:val="13"/>
  </w:num>
  <w:num w:numId="5">
    <w:abstractNumId w:val="6"/>
  </w:num>
  <w:num w:numId="6">
    <w:abstractNumId w:val="17"/>
  </w:num>
  <w:num w:numId="7">
    <w:abstractNumId w:val="2"/>
  </w:num>
  <w:num w:numId="8">
    <w:abstractNumId w:val="1"/>
  </w:num>
  <w:num w:numId="9">
    <w:abstractNumId w:val="5"/>
  </w:num>
  <w:num w:numId="10">
    <w:abstractNumId w:val="3"/>
  </w:num>
  <w:num w:numId="11">
    <w:abstractNumId w:val="14"/>
  </w:num>
  <w:num w:numId="12">
    <w:abstractNumId w:val="11"/>
  </w:num>
  <w:num w:numId="13">
    <w:abstractNumId w:val="7"/>
  </w:num>
  <w:num w:numId="14">
    <w:abstractNumId w:val="8"/>
  </w:num>
  <w:num w:numId="15">
    <w:abstractNumId w:val="12"/>
  </w:num>
  <w:num w:numId="16">
    <w:abstractNumId w:val="18"/>
  </w:num>
  <w:num w:numId="17">
    <w:abstractNumId w:val="21"/>
  </w:num>
  <w:num w:numId="18">
    <w:abstractNumId w:val="10"/>
  </w:num>
  <w:num w:numId="19">
    <w:abstractNumId w:val="15"/>
  </w:num>
  <w:num w:numId="20">
    <w:abstractNumId w:val="0"/>
  </w:num>
  <w:num w:numId="21">
    <w:abstractNumId w:val="19"/>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20"/>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5B"/>
    <w:rsid w:val="00001C82"/>
    <w:rsid w:val="000025E6"/>
    <w:rsid w:val="00011535"/>
    <w:rsid w:val="00011D42"/>
    <w:rsid w:val="000245B1"/>
    <w:rsid w:val="00026BC9"/>
    <w:rsid w:val="000323EE"/>
    <w:rsid w:val="00052133"/>
    <w:rsid w:val="0006099A"/>
    <w:rsid w:val="00084389"/>
    <w:rsid w:val="00091CE9"/>
    <w:rsid w:val="000C76F1"/>
    <w:rsid w:val="000E752B"/>
    <w:rsid w:val="000F74D3"/>
    <w:rsid w:val="00104BB7"/>
    <w:rsid w:val="00114E6B"/>
    <w:rsid w:val="001152AF"/>
    <w:rsid w:val="00122E0C"/>
    <w:rsid w:val="00123CAD"/>
    <w:rsid w:val="00126542"/>
    <w:rsid w:val="00144CC8"/>
    <w:rsid w:val="001450BD"/>
    <w:rsid w:val="0017151A"/>
    <w:rsid w:val="0018260F"/>
    <w:rsid w:val="001B33A5"/>
    <w:rsid w:val="001B4F29"/>
    <w:rsid w:val="001B5364"/>
    <w:rsid w:val="001E1723"/>
    <w:rsid w:val="001E5CEC"/>
    <w:rsid w:val="001F1510"/>
    <w:rsid w:val="00240D72"/>
    <w:rsid w:val="0024690C"/>
    <w:rsid w:val="00247B7C"/>
    <w:rsid w:val="00251AE9"/>
    <w:rsid w:val="00260172"/>
    <w:rsid w:val="00276E82"/>
    <w:rsid w:val="002C05DA"/>
    <w:rsid w:val="00305171"/>
    <w:rsid w:val="0035261B"/>
    <w:rsid w:val="00356FB2"/>
    <w:rsid w:val="003A29AF"/>
    <w:rsid w:val="003D10DA"/>
    <w:rsid w:val="003D3D02"/>
    <w:rsid w:val="004320BD"/>
    <w:rsid w:val="00432501"/>
    <w:rsid w:val="004870B6"/>
    <w:rsid w:val="004A0BBE"/>
    <w:rsid w:val="004A277E"/>
    <w:rsid w:val="004D2631"/>
    <w:rsid w:val="004E3B76"/>
    <w:rsid w:val="004F3480"/>
    <w:rsid w:val="0052658A"/>
    <w:rsid w:val="00550214"/>
    <w:rsid w:val="005505C8"/>
    <w:rsid w:val="005704C9"/>
    <w:rsid w:val="00576ACC"/>
    <w:rsid w:val="00586907"/>
    <w:rsid w:val="005B0640"/>
    <w:rsid w:val="005C2978"/>
    <w:rsid w:val="005D5377"/>
    <w:rsid w:val="005E6A5C"/>
    <w:rsid w:val="005F6785"/>
    <w:rsid w:val="00641B5B"/>
    <w:rsid w:val="00654A44"/>
    <w:rsid w:val="0067089F"/>
    <w:rsid w:val="00682281"/>
    <w:rsid w:val="00697EBB"/>
    <w:rsid w:val="006A1AE9"/>
    <w:rsid w:val="006D6CED"/>
    <w:rsid w:val="006E07AA"/>
    <w:rsid w:val="006F1E89"/>
    <w:rsid w:val="007024E0"/>
    <w:rsid w:val="007223A1"/>
    <w:rsid w:val="00730D35"/>
    <w:rsid w:val="0074113F"/>
    <w:rsid w:val="00742B01"/>
    <w:rsid w:val="00763D4C"/>
    <w:rsid w:val="00773069"/>
    <w:rsid w:val="007B0858"/>
    <w:rsid w:val="007B6834"/>
    <w:rsid w:val="007C6E79"/>
    <w:rsid w:val="007C7D92"/>
    <w:rsid w:val="007F2604"/>
    <w:rsid w:val="00814854"/>
    <w:rsid w:val="008852D9"/>
    <w:rsid w:val="00896ECA"/>
    <w:rsid w:val="008B0433"/>
    <w:rsid w:val="008B4FB5"/>
    <w:rsid w:val="008C1178"/>
    <w:rsid w:val="008D2567"/>
    <w:rsid w:val="008F7720"/>
    <w:rsid w:val="009020B9"/>
    <w:rsid w:val="00905683"/>
    <w:rsid w:val="009235F5"/>
    <w:rsid w:val="009244C2"/>
    <w:rsid w:val="009320AD"/>
    <w:rsid w:val="00945D0A"/>
    <w:rsid w:val="0095640E"/>
    <w:rsid w:val="009A1EC0"/>
    <w:rsid w:val="009C1FA6"/>
    <w:rsid w:val="009D1F71"/>
    <w:rsid w:val="009F3588"/>
    <w:rsid w:val="00A35843"/>
    <w:rsid w:val="00A6181D"/>
    <w:rsid w:val="00A7452A"/>
    <w:rsid w:val="00A76A76"/>
    <w:rsid w:val="00A76CA6"/>
    <w:rsid w:val="00A91DEB"/>
    <w:rsid w:val="00AA0696"/>
    <w:rsid w:val="00AA6679"/>
    <w:rsid w:val="00AC4453"/>
    <w:rsid w:val="00AF0399"/>
    <w:rsid w:val="00AF3702"/>
    <w:rsid w:val="00AF3E55"/>
    <w:rsid w:val="00B10C98"/>
    <w:rsid w:val="00B447D9"/>
    <w:rsid w:val="00B50E71"/>
    <w:rsid w:val="00B6445B"/>
    <w:rsid w:val="00B65875"/>
    <w:rsid w:val="00B92A40"/>
    <w:rsid w:val="00B97FCE"/>
    <w:rsid w:val="00BC79D0"/>
    <w:rsid w:val="00C01695"/>
    <w:rsid w:val="00C02DBD"/>
    <w:rsid w:val="00C23039"/>
    <w:rsid w:val="00C309BE"/>
    <w:rsid w:val="00C327A8"/>
    <w:rsid w:val="00C445F2"/>
    <w:rsid w:val="00C56929"/>
    <w:rsid w:val="00CC24FE"/>
    <w:rsid w:val="00CD5B72"/>
    <w:rsid w:val="00CE0509"/>
    <w:rsid w:val="00D319F5"/>
    <w:rsid w:val="00D44009"/>
    <w:rsid w:val="00D5225D"/>
    <w:rsid w:val="00DA5926"/>
    <w:rsid w:val="00DB33DC"/>
    <w:rsid w:val="00DB5D99"/>
    <w:rsid w:val="00DE32E8"/>
    <w:rsid w:val="00DF0BDA"/>
    <w:rsid w:val="00E4455F"/>
    <w:rsid w:val="00E5004F"/>
    <w:rsid w:val="00E60C41"/>
    <w:rsid w:val="00E868BC"/>
    <w:rsid w:val="00EA3CF6"/>
    <w:rsid w:val="00EC10C4"/>
    <w:rsid w:val="00F17CB5"/>
    <w:rsid w:val="00F43FE0"/>
    <w:rsid w:val="00F603C4"/>
    <w:rsid w:val="00F84089"/>
    <w:rsid w:val="00FB6890"/>
    <w:rsid w:val="00FD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BCEB0E"/>
  <w15:docId w15:val="{D8EFA757-F742-4C1E-B4A7-0920AA33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Verdana" w:eastAsia="Verdana" w:hAnsi="Verdana" w:cs="Verdana"/>
      <w:color w:val="000000"/>
      <w:sz w:val="22"/>
      <w:szCs w:val="22"/>
      <w:u w:color="000000"/>
      <w:lang w:val="en-US"/>
    </w:rPr>
  </w:style>
  <w:style w:type="paragraph" w:styleId="Heading1">
    <w:name w:val="heading 1"/>
    <w:next w:val="Normal"/>
    <w:uiPriority w:val="9"/>
    <w:qFormat/>
    <w:pPr>
      <w:keepNext/>
      <w:keepLines/>
      <w:spacing w:before="480" w:line="276" w:lineRule="auto"/>
      <w:outlineLvl w:val="0"/>
    </w:pPr>
    <w:rPr>
      <w:rFonts w:ascii="Verdana" w:eastAsia="Verdana" w:hAnsi="Verdana" w:cs="Verdana"/>
      <w:b/>
      <w:bCs/>
      <w:color w:val="365F91"/>
      <w:sz w:val="28"/>
      <w:szCs w:val="28"/>
      <w:u w:color="365F91"/>
      <w:lang w:val="en-US"/>
    </w:rPr>
  </w:style>
  <w:style w:type="paragraph" w:styleId="Heading2">
    <w:name w:val="heading 2"/>
    <w:next w:val="Normal"/>
    <w:uiPriority w:val="9"/>
    <w:unhideWhenUsed/>
    <w:qFormat/>
    <w:pPr>
      <w:keepNext/>
      <w:keepLines/>
      <w:spacing w:before="200" w:line="276" w:lineRule="auto"/>
      <w:outlineLvl w:val="1"/>
    </w:pPr>
    <w:rPr>
      <w:rFonts w:ascii="Verdana" w:eastAsia="Verdana" w:hAnsi="Verdana" w:cs="Verdana"/>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Verdana" w:hAnsi="Verdana" w:cs="Arial Unicode MS"/>
      <w:color w:val="000000"/>
      <w:sz w:val="22"/>
      <w:szCs w:val="22"/>
      <w:u w:color="000000"/>
      <w:lang w:val="en-US"/>
    </w:rPr>
  </w:style>
  <w:style w:type="paragraph" w:styleId="Footer">
    <w:name w:val="footer"/>
    <w:pPr>
      <w:tabs>
        <w:tab w:val="center" w:pos="4513"/>
        <w:tab w:val="right" w:pos="9026"/>
      </w:tabs>
    </w:pPr>
    <w:rPr>
      <w:rFonts w:ascii="Verdana" w:hAnsi="Verdana"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OCHeading">
    <w:name w:val="TOC Heading"/>
    <w:next w:val="Normal"/>
    <w:pPr>
      <w:keepNext/>
      <w:keepLines/>
      <w:spacing w:before="480" w:line="276" w:lineRule="auto"/>
    </w:pPr>
    <w:rPr>
      <w:rFonts w:ascii="Verdana" w:hAnsi="Verdana" w:cs="Arial Unicode MS"/>
      <w:b/>
      <w:bCs/>
      <w:color w:val="365F91"/>
      <w:sz w:val="28"/>
      <w:szCs w:val="28"/>
      <w:u w:color="365F91"/>
      <w:lang w:val="en-US"/>
    </w:rPr>
  </w:style>
  <w:style w:type="paragraph" w:styleId="TOC1">
    <w:name w:val="toc 1"/>
    <w:uiPriority w:val="39"/>
    <w:pPr>
      <w:tabs>
        <w:tab w:val="left" w:pos="660"/>
        <w:tab w:val="right" w:leader="dot" w:pos="9000"/>
      </w:tabs>
      <w:spacing w:after="100" w:line="276" w:lineRule="auto"/>
    </w:pPr>
    <w:rPr>
      <w:rFonts w:ascii="Verdana" w:eastAsia="Verdana" w:hAnsi="Verdana" w:cs="Verdana"/>
      <w:color w:val="000000"/>
      <w:sz w:val="22"/>
      <w:szCs w:val="22"/>
      <w:u w:color="000000"/>
      <w:lang w:val="en-US"/>
    </w:rPr>
  </w:style>
  <w:style w:type="paragraph" w:styleId="TOC2">
    <w:name w:val="toc 2"/>
    <w:uiPriority w:val="39"/>
    <w:pPr>
      <w:tabs>
        <w:tab w:val="left" w:pos="660"/>
        <w:tab w:val="right" w:leader="dot" w:pos="9000"/>
      </w:tabs>
      <w:spacing w:after="100" w:line="276" w:lineRule="auto"/>
      <w:ind w:left="220"/>
    </w:pPr>
    <w:rPr>
      <w:rFonts w:ascii="Verdana" w:eastAsia="Verdana" w:hAnsi="Verdana" w:cs="Verdana"/>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4C83C4"/>
      <w:u w:val="none" w:color="4C83C4"/>
    </w:rPr>
  </w:style>
  <w:style w:type="numbering" w:customStyle="1" w:styleId="ImportedStyle2">
    <w:name w:val="Imported Style 2"/>
    <w:pPr>
      <w:numPr>
        <w:numId w:val="3"/>
      </w:numPr>
    </w:pPr>
  </w:style>
  <w:style w:type="paragraph" w:styleId="FootnoteText">
    <w:name w:val="footnote text"/>
    <w:rPr>
      <w:rFonts w:ascii="Verdana" w:eastAsia="Verdana" w:hAnsi="Verdana" w:cs="Verdana"/>
      <w:color w:val="000000"/>
      <w:u w:color="000000"/>
      <w:lang w:val="en-US"/>
    </w:rPr>
  </w:style>
  <w:style w:type="paragraph" w:styleId="CommentText">
    <w:name w:val="annotation text"/>
    <w:link w:val="CommentTextChar"/>
    <w:uiPriority w:val="99"/>
    <w:pPr>
      <w:spacing w:after="200" w:line="276" w:lineRule="auto"/>
    </w:pPr>
    <w:rPr>
      <w:rFonts w:ascii="Verdana" w:hAnsi="Verdana" w:cs="Arial Unicode MS"/>
      <w:color w:val="000000"/>
      <w:u w:color="000000"/>
      <w:lang w:val="en-US"/>
    </w:rPr>
  </w:style>
  <w:style w:type="numbering" w:customStyle="1" w:styleId="ImportedStyle3">
    <w:name w:val="Imported Style 3"/>
    <w:pPr>
      <w:numPr>
        <w:numId w:val="4"/>
      </w:numPr>
    </w:pPr>
  </w:style>
  <w:style w:type="paragraph" w:styleId="BodyText">
    <w:name w:val="Body Text"/>
    <w:basedOn w:val="Normal"/>
    <w:link w:val="BodyTextChar"/>
    <w:uiPriority w:val="1"/>
    <w:unhideWhenUsed/>
    <w:qFormat/>
    <w:rsid w:val="004320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color w:val="auto"/>
      <w:bdr w:val="none" w:sz="0" w:space="0" w:color="auto"/>
      <w:lang w:val="en-GB" w:bidi="en-GB"/>
    </w:rPr>
  </w:style>
  <w:style w:type="character" w:customStyle="1" w:styleId="BodyTextChar">
    <w:name w:val="Body Text Char"/>
    <w:basedOn w:val="DefaultParagraphFont"/>
    <w:link w:val="BodyText"/>
    <w:uiPriority w:val="1"/>
    <w:rsid w:val="004320BD"/>
    <w:rPr>
      <w:rFonts w:ascii="Verdana" w:eastAsia="Verdana" w:hAnsi="Verdana" w:cs="Verdana"/>
      <w:sz w:val="22"/>
      <w:szCs w:val="22"/>
      <w:bdr w:val="none" w:sz="0" w:space="0" w:color="auto"/>
      <w:lang w:bidi="en-GB"/>
    </w:rPr>
  </w:style>
  <w:style w:type="paragraph" w:customStyle="1" w:styleId="Body">
    <w:name w:val="Body"/>
    <w:rsid w:val="00251AE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rPr>
  </w:style>
  <w:style w:type="paragraph" w:customStyle="1" w:styleId="Default">
    <w:name w:val="Default"/>
    <w:rsid w:val="00251AE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rPr>
  </w:style>
  <w:style w:type="paragraph" w:styleId="ListParagraph">
    <w:name w:val="List Paragraph"/>
    <w:basedOn w:val="Normal"/>
    <w:uiPriority w:val="34"/>
    <w:qFormat/>
    <w:rsid w:val="008852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1260" w:hanging="360"/>
      <w:jc w:val="both"/>
    </w:pPr>
    <w:rPr>
      <w:color w:val="auto"/>
      <w:bdr w:val="none" w:sz="0" w:space="0" w:color="auto"/>
      <w:lang w:val="en-GB" w:bidi="en-GB"/>
    </w:rPr>
  </w:style>
  <w:style w:type="paragraph" w:styleId="BalloonText">
    <w:name w:val="Balloon Text"/>
    <w:basedOn w:val="Normal"/>
    <w:link w:val="BalloonTextChar"/>
    <w:uiPriority w:val="99"/>
    <w:semiHidden/>
    <w:unhideWhenUsed/>
    <w:rsid w:val="0048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B6"/>
    <w:rPr>
      <w:rFonts w:ascii="Tahoma" w:eastAsia="Verdana" w:hAnsi="Tahoma" w:cs="Tahoma"/>
      <w:color w:val="000000"/>
      <w:sz w:val="16"/>
      <w:szCs w:val="16"/>
      <w:u w:color="000000"/>
      <w:lang w:val="en-US"/>
    </w:rPr>
  </w:style>
  <w:style w:type="character" w:styleId="CommentReference">
    <w:name w:val="annotation reference"/>
    <w:basedOn w:val="DefaultParagraphFont"/>
    <w:uiPriority w:val="99"/>
    <w:semiHidden/>
    <w:unhideWhenUsed/>
    <w:rsid w:val="00DA5926"/>
    <w:rPr>
      <w:sz w:val="16"/>
      <w:szCs w:val="16"/>
    </w:rPr>
  </w:style>
  <w:style w:type="paragraph" w:styleId="CommentSubject">
    <w:name w:val="annotation subject"/>
    <w:basedOn w:val="CommentText"/>
    <w:next w:val="CommentText"/>
    <w:link w:val="CommentSubjectChar"/>
    <w:uiPriority w:val="99"/>
    <w:semiHidden/>
    <w:unhideWhenUsed/>
    <w:rsid w:val="00DA5926"/>
    <w:pPr>
      <w:spacing w:line="240" w:lineRule="auto"/>
    </w:pPr>
    <w:rPr>
      <w:rFonts w:eastAsia="Verdana" w:cs="Verdana"/>
      <w:b/>
      <w:bCs/>
    </w:rPr>
  </w:style>
  <w:style w:type="character" w:customStyle="1" w:styleId="CommentTextChar">
    <w:name w:val="Comment Text Char"/>
    <w:basedOn w:val="DefaultParagraphFont"/>
    <w:link w:val="CommentText"/>
    <w:uiPriority w:val="99"/>
    <w:rsid w:val="00DA5926"/>
    <w:rPr>
      <w:rFonts w:ascii="Verdana" w:hAnsi="Verdana" w:cs="Arial Unicode MS"/>
      <w:color w:val="000000"/>
      <w:u w:color="000000"/>
      <w:lang w:val="en-US"/>
    </w:rPr>
  </w:style>
  <w:style w:type="character" w:customStyle="1" w:styleId="CommentSubjectChar">
    <w:name w:val="Comment Subject Char"/>
    <w:basedOn w:val="CommentTextChar"/>
    <w:link w:val="CommentSubject"/>
    <w:uiPriority w:val="99"/>
    <w:semiHidden/>
    <w:rsid w:val="00DA5926"/>
    <w:rPr>
      <w:rFonts w:ascii="Verdana" w:eastAsia="Verdana" w:hAnsi="Verdana" w:cs="Verdana"/>
      <w:b/>
      <w:bCs/>
      <w:color w:val="000000"/>
      <w:u w:color="000000"/>
      <w:lang w:val="en-US"/>
    </w:rPr>
  </w:style>
  <w:style w:type="character" w:customStyle="1" w:styleId="HeaderChar">
    <w:name w:val="Header Char"/>
    <w:link w:val="Header"/>
    <w:uiPriority w:val="99"/>
    <w:locked/>
    <w:rsid w:val="005C2978"/>
    <w:rPr>
      <w:rFonts w:ascii="Verdana" w:hAnsi="Verdana" w:cs="Arial Unicode MS"/>
      <w:color w:val="000000"/>
      <w:sz w:val="22"/>
      <w:szCs w:val="22"/>
      <w:u w:color="000000"/>
      <w:lang w:val="en-US"/>
    </w:rPr>
  </w:style>
  <w:style w:type="table" w:styleId="TableGrid">
    <w:name w:val="Table Grid"/>
    <w:basedOn w:val="TableNormal"/>
    <w:uiPriority w:val="39"/>
    <w:rsid w:val="0011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8408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heme="minorHAnsi" w:hAnsi="Calibri" w:cs="Calibri"/>
      <w:color w:val="auto"/>
      <w:bdr w:val="none" w:sz="0" w:space="0" w:color="auto"/>
      <w:lang w:val="en-GB" w:eastAsia="en-US"/>
    </w:rPr>
  </w:style>
  <w:style w:type="character" w:customStyle="1" w:styleId="PlainTextChar">
    <w:name w:val="Plain Text Char"/>
    <w:basedOn w:val="DefaultParagraphFont"/>
    <w:link w:val="PlainText"/>
    <w:uiPriority w:val="99"/>
    <w:semiHidden/>
    <w:rsid w:val="00F84089"/>
    <w:rPr>
      <w:rFonts w:ascii="Calibri" w:eastAsiaTheme="minorHAnsi" w:hAnsi="Calibri" w:cs="Calibri"/>
      <w:sz w:val="22"/>
      <w:szCs w:val="22"/>
      <w:bdr w:val="none" w:sz="0" w:space="0" w:color="auto"/>
      <w:lang w:eastAsia="en-US"/>
    </w:rPr>
  </w:style>
  <w:style w:type="table" w:styleId="ListTable3-Accent1">
    <w:name w:val="List Table 3 Accent 1"/>
    <w:basedOn w:val="TableNormal"/>
    <w:uiPriority w:val="48"/>
    <w:rsid w:val="005869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9477">
      <w:bodyDiv w:val="1"/>
      <w:marLeft w:val="0"/>
      <w:marRight w:val="0"/>
      <w:marTop w:val="0"/>
      <w:marBottom w:val="0"/>
      <w:divBdr>
        <w:top w:val="none" w:sz="0" w:space="0" w:color="auto"/>
        <w:left w:val="none" w:sz="0" w:space="0" w:color="auto"/>
        <w:bottom w:val="none" w:sz="0" w:space="0" w:color="auto"/>
        <w:right w:val="none" w:sz="0" w:space="0" w:color="auto"/>
      </w:divBdr>
    </w:div>
    <w:div w:id="1063531274">
      <w:bodyDiv w:val="1"/>
      <w:marLeft w:val="0"/>
      <w:marRight w:val="0"/>
      <w:marTop w:val="0"/>
      <w:marBottom w:val="0"/>
      <w:divBdr>
        <w:top w:val="none" w:sz="0" w:space="0" w:color="auto"/>
        <w:left w:val="none" w:sz="0" w:space="0" w:color="auto"/>
        <w:bottom w:val="none" w:sz="0" w:space="0" w:color="auto"/>
        <w:right w:val="none" w:sz="0" w:space="0" w:color="auto"/>
      </w:divBdr>
    </w:div>
    <w:div w:id="1128863516">
      <w:bodyDiv w:val="1"/>
      <w:marLeft w:val="0"/>
      <w:marRight w:val="0"/>
      <w:marTop w:val="0"/>
      <w:marBottom w:val="0"/>
      <w:divBdr>
        <w:top w:val="none" w:sz="0" w:space="0" w:color="auto"/>
        <w:left w:val="none" w:sz="0" w:space="0" w:color="auto"/>
        <w:bottom w:val="none" w:sz="0" w:space="0" w:color="auto"/>
        <w:right w:val="none" w:sz="0" w:space="0" w:color="auto"/>
      </w:divBdr>
    </w:div>
    <w:div w:id="1442191503">
      <w:bodyDiv w:val="1"/>
      <w:marLeft w:val="0"/>
      <w:marRight w:val="0"/>
      <w:marTop w:val="0"/>
      <w:marBottom w:val="0"/>
      <w:divBdr>
        <w:top w:val="none" w:sz="0" w:space="0" w:color="auto"/>
        <w:left w:val="none" w:sz="0" w:space="0" w:color="auto"/>
        <w:bottom w:val="none" w:sz="0" w:space="0" w:color="auto"/>
        <w:right w:val="none" w:sz="0" w:space="0" w:color="auto"/>
      </w:divBdr>
    </w:div>
    <w:div w:id="1674332046">
      <w:bodyDiv w:val="1"/>
      <w:marLeft w:val="0"/>
      <w:marRight w:val="0"/>
      <w:marTop w:val="0"/>
      <w:marBottom w:val="0"/>
      <w:divBdr>
        <w:top w:val="none" w:sz="0" w:space="0" w:color="auto"/>
        <w:left w:val="none" w:sz="0" w:space="0" w:color="auto"/>
        <w:bottom w:val="none" w:sz="0" w:space="0" w:color="auto"/>
        <w:right w:val="none" w:sz="0" w:space="0" w:color="auto"/>
      </w:divBdr>
    </w:div>
    <w:div w:id="1800763413">
      <w:bodyDiv w:val="1"/>
      <w:marLeft w:val="0"/>
      <w:marRight w:val="0"/>
      <w:marTop w:val="0"/>
      <w:marBottom w:val="0"/>
      <w:divBdr>
        <w:top w:val="none" w:sz="0" w:space="0" w:color="auto"/>
        <w:left w:val="none" w:sz="0" w:space="0" w:color="auto"/>
        <w:bottom w:val="none" w:sz="0" w:space="0" w:color="auto"/>
        <w:right w:val="none" w:sz="0" w:space="0" w:color="auto"/>
      </w:divBdr>
    </w:div>
    <w:div w:id="1841845534">
      <w:bodyDiv w:val="1"/>
      <w:marLeft w:val="0"/>
      <w:marRight w:val="0"/>
      <w:marTop w:val="0"/>
      <w:marBottom w:val="0"/>
      <w:divBdr>
        <w:top w:val="none" w:sz="0" w:space="0" w:color="auto"/>
        <w:left w:val="none" w:sz="0" w:space="0" w:color="auto"/>
        <w:bottom w:val="none" w:sz="0" w:space="0" w:color="auto"/>
        <w:right w:val="none" w:sz="0" w:space="0" w:color="auto"/>
      </w:divBdr>
    </w:div>
    <w:div w:id="199926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0440-2567-47BF-9D9D-4A289AF45522}">
  <ds:schemaRefs>
    <ds:schemaRef ds:uri="http://schemas.microsoft.com/sharepoint/v3/contenttype/forms"/>
  </ds:schemaRefs>
</ds:datastoreItem>
</file>

<file path=customXml/itemProps2.xml><?xml version="1.0" encoding="utf-8"?>
<ds:datastoreItem xmlns:ds="http://schemas.openxmlformats.org/officeDocument/2006/customXml" ds:itemID="{A1EEEFA6-35A8-4A13-9EB4-56C8FEADBBC8}">
  <ds:schemaRefs>
    <ds:schemaRef ds:uri="http://purl.org/dc/dcmitype/"/>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f6dc0cf-1d45-4a2f-a37f-b5391cb0490c"/>
  </ds:schemaRefs>
</ds:datastoreItem>
</file>

<file path=customXml/itemProps3.xml><?xml version="1.0" encoding="utf-8"?>
<ds:datastoreItem xmlns:ds="http://schemas.openxmlformats.org/officeDocument/2006/customXml" ds:itemID="{795A15EE-D689-4C5A-8D95-4F079EA2F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512FE-B8CC-4664-A2EA-D1210D98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Bond</dc:creator>
  <cp:lastModifiedBy>Bryant Claire OPCC</cp:lastModifiedBy>
  <cp:revision>2</cp:revision>
  <dcterms:created xsi:type="dcterms:W3CDTF">2019-10-25T11:54:00Z</dcterms:created>
  <dcterms:modified xsi:type="dcterms:W3CDTF">2019-10-25T11:54:00Z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ff624795-ad8d-4e06-b3ac-cf222fd0beb0</vt:lpwstr>
  </property>
</Properties>
</file>