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16ED16" w14:textId="77777777" w:rsidR="00134DDB" w:rsidRPr="00FE59E2" w:rsidRDefault="00134DDB" w:rsidP="00BE287E">
      <w:pPr>
        <w:ind w:left="567"/>
        <w:jc w:val="both"/>
        <w:rPr>
          <w:rFonts w:cs="Arial"/>
          <w:b/>
        </w:rPr>
      </w:pPr>
      <w:bookmarkStart w:id="0" w:name="_Toc392503950"/>
    </w:p>
    <w:p w14:paraId="419225A8" w14:textId="77777777" w:rsidR="00134DDB" w:rsidRPr="00FE59E2" w:rsidRDefault="00134DDB" w:rsidP="00BE287E">
      <w:pPr>
        <w:ind w:left="567"/>
        <w:jc w:val="both"/>
        <w:rPr>
          <w:rFonts w:cs="Arial"/>
          <w:b/>
        </w:rPr>
      </w:pPr>
    </w:p>
    <w:p w14:paraId="1EBB6E82" w14:textId="77777777" w:rsidR="00134DDB" w:rsidRPr="00FE59E2" w:rsidRDefault="00134DDB" w:rsidP="00BE287E">
      <w:pPr>
        <w:ind w:left="567"/>
        <w:jc w:val="both"/>
        <w:rPr>
          <w:rFonts w:cs="Arial"/>
          <w:b/>
        </w:rPr>
      </w:pPr>
    </w:p>
    <w:p w14:paraId="178B27DA" w14:textId="77777777" w:rsidR="00134DDB" w:rsidRPr="00FE59E2" w:rsidRDefault="00134DDB" w:rsidP="00BE287E">
      <w:pPr>
        <w:ind w:left="567"/>
        <w:jc w:val="both"/>
        <w:rPr>
          <w:rFonts w:cs="Arial"/>
          <w:b/>
        </w:rPr>
      </w:pPr>
    </w:p>
    <w:p w14:paraId="508499A1" w14:textId="77777777" w:rsidR="00134DDB" w:rsidRPr="00FE59E2" w:rsidRDefault="00134DDB" w:rsidP="00BE287E">
      <w:pPr>
        <w:ind w:left="567"/>
        <w:jc w:val="both"/>
        <w:rPr>
          <w:rFonts w:cs="Arial"/>
          <w:b/>
        </w:rPr>
      </w:pPr>
    </w:p>
    <w:p w14:paraId="0A06A19D" w14:textId="77777777" w:rsidR="00134DDB" w:rsidRPr="00FE59E2" w:rsidRDefault="00A76E8A" w:rsidP="00253B7D">
      <w:pPr>
        <w:jc w:val="center"/>
        <w:rPr>
          <w:rFonts w:cs="Arial"/>
          <w:b/>
        </w:rPr>
      </w:pPr>
      <w:r>
        <w:rPr>
          <w:rFonts w:cs="Arial"/>
          <w:b/>
          <w:noProof/>
          <w:lang w:eastAsia="en-GB"/>
        </w:rPr>
        <w:drawing>
          <wp:inline distT="0" distB="0" distL="0" distR="0" wp14:anchorId="24F67177" wp14:editId="1D6BB94D">
            <wp:extent cx="2689860" cy="1356360"/>
            <wp:effectExtent l="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89860" cy="1356360"/>
                    </a:xfrm>
                    <a:prstGeom prst="rect">
                      <a:avLst/>
                    </a:prstGeom>
                    <a:noFill/>
                    <a:ln>
                      <a:noFill/>
                    </a:ln>
                  </pic:spPr>
                </pic:pic>
              </a:graphicData>
            </a:graphic>
          </wp:inline>
        </w:drawing>
      </w:r>
    </w:p>
    <w:p w14:paraId="3B72BBA2" w14:textId="77777777" w:rsidR="00134DDB" w:rsidRPr="00FE59E2" w:rsidRDefault="00134DDB" w:rsidP="00253B7D">
      <w:pPr>
        <w:jc w:val="center"/>
        <w:rPr>
          <w:rFonts w:cs="Arial"/>
          <w:b/>
        </w:rPr>
      </w:pPr>
    </w:p>
    <w:p w14:paraId="037B91FD" w14:textId="66D89EF7" w:rsidR="006B1DE3" w:rsidRDefault="006B1DE3" w:rsidP="000B1369">
      <w:pPr>
        <w:rPr>
          <w:rFonts w:cs="Arial"/>
          <w:b/>
          <w:color w:val="17365D"/>
        </w:rPr>
      </w:pPr>
    </w:p>
    <w:p w14:paraId="550AEE69" w14:textId="77777777" w:rsidR="000B1369" w:rsidRPr="004F2278" w:rsidRDefault="00134DDB" w:rsidP="006B1DE3">
      <w:pPr>
        <w:jc w:val="center"/>
        <w:rPr>
          <w:rFonts w:ascii="Helvetica" w:hAnsi="Helvetica" w:cs="Helvetica"/>
          <w:b/>
          <w:color w:val="17365D"/>
          <w:sz w:val="26"/>
          <w:szCs w:val="26"/>
        </w:rPr>
      </w:pPr>
      <w:r w:rsidRPr="004F2278">
        <w:rPr>
          <w:rFonts w:ascii="Helvetica" w:hAnsi="Helvetica" w:cs="Helvetica"/>
          <w:b/>
          <w:color w:val="17365D"/>
          <w:sz w:val="26"/>
          <w:szCs w:val="26"/>
        </w:rPr>
        <w:t>Police and Crime</w:t>
      </w:r>
      <w:r w:rsidR="006B1DE3" w:rsidRPr="004F2278">
        <w:rPr>
          <w:rFonts w:ascii="Helvetica" w:hAnsi="Helvetica" w:cs="Helvetica"/>
          <w:b/>
          <w:color w:val="17365D"/>
          <w:sz w:val="26"/>
          <w:szCs w:val="26"/>
        </w:rPr>
        <w:t xml:space="preserve"> </w:t>
      </w:r>
      <w:r w:rsidRPr="004F2278">
        <w:rPr>
          <w:rFonts w:ascii="Helvetica" w:hAnsi="Helvetica" w:cs="Helvetica"/>
          <w:b/>
          <w:color w:val="17365D"/>
          <w:sz w:val="26"/>
          <w:szCs w:val="26"/>
        </w:rPr>
        <w:t xml:space="preserve">Commissioner </w:t>
      </w:r>
    </w:p>
    <w:p w14:paraId="3A91E911" w14:textId="5BE65D7E" w:rsidR="006B1DE3" w:rsidRPr="004F2278" w:rsidRDefault="000B1369" w:rsidP="000B1369">
      <w:pPr>
        <w:jc w:val="center"/>
        <w:rPr>
          <w:rFonts w:ascii="Helvetica" w:hAnsi="Helvetica" w:cs="Helvetica"/>
          <w:b/>
          <w:color w:val="17365D"/>
          <w:sz w:val="26"/>
          <w:szCs w:val="26"/>
        </w:rPr>
      </w:pPr>
      <w:r w:rsidRPr="004F2278">
        <w:rPr>
          <w:rFonts w:ascii="Helvetica" w:hAnsi="Helvetica" w:cs="Helvetica"/>
          <w:b/>
          <w:color w:val="17365D"/>
          <w:sz w:val="26"/>
          <w:szCs w:val="26"/>
        </w:rPr>
        <w:t xml:space="preserve">for Dyfed </w:t>
      </w:r>
      <w:r w:rsidR="00134DDB" w:rsidRPr="004F2278">
        <w:rPr>
          <w:rFonts w:ascii="Helvetica" w:hAnsi="Helvetica" w:cs="Helvetica"/>
          <w:b/>
          <w:color w:val="17365D"/>
          <w:sz w:val="26"/>
          <w:szCs w:val="26"/>
        </w:rPr>
        <w:t>Powys</w:t>
      </w:r>
    </w:p>
    <w:p w14:paraId="39276450" w14:textId="77777777" w:rsidR="00134DDB" w:rsidRPr="004F2278" w:rsidRDefault="00134DDB" w:rsidP="00253B7D">
      <w:pPr>
        <w:jc w:val="center"/>
        <w:rPr>
          <w:rFonts w:ascii="Helvetica" w:hAnsi="Helvetica" w:cs="Helvetica"/>
          <w:b/>
          <w:sz w:val="26"/>
          <w:szCs w:val="26"/>
        </w:rPr>
      </w:pPr>
    </w:p>
    <w:p w14:paraId="31566D23" w14:textId="77777777" w:rsidR="002368B5" w:rsidRPr="004F2278" w:rsidRDefault="002368B5" w:rsidP="00321CD2">
      <w:pPr>
        <w:jc w:val="center"/>
        <w:rPr>
          <w:rFonts w:ascii="Helvetica" w:hAnsi="Helvetica" w:cs="Helvetica"/>
          <w:b/>
          <w:color w:val="548DD4"/>
          <w:sz w:val="26"/>
          <w:szCs w:val="26"/>
        </w:rPr>
      </w:pPr>
    </w:p>
    <w:p w14:paraId="73958607" w14:textId="77777777" w:rsidR="000713A2" w:rsidRDefault="007648BA" w:rsidP="00321CD2">
      <w:pPr>
        <w:jc w:val="center"/>
        <w:rPr>
          <w:rFonts w:ascii="Helvetica" w:hAnsi="Helvetica" w:cs="Helvetica"/>
          <w:b/>
          <w:color w:val="548DD4"/>
          <w:sz w:val="26"/>
          <w:szCs w:val="26"/>
        </w:rPr>
      </w:pPr>
      <w:r w:rsidRPr="004F2278">
        <w:rPr>
          <w:rFonts w:ascii="Helvetica" w:hAnsi="Helvetica" w:cs="Helvetica"/>
          <w:b/>
          <w:color w:val="548DD4"/>
          <w:sz w:val="26"/>
          <w:szCs w:val="26"/>
        </w:rPr>
        <w:t xml:space="preserve">Dip Sampling </w:t>
      </w:r>
      <w:r w:rsidR="005003F8" w:rsidRPr="004F2278">
        <w:rPr>
          <w:rFonts w:ascii="Helvetica" w:hAnsi="Helvetica" w:cs="Helvetica"/>
          <w:b/>
          <w:color w:val="548DD4"/>
          <w:sz w:val="26"/>
          <w:szCs w:val="26"/>
        </w:rPr>
        <w:t>–</w:t>
      </w:r>
      <w:r w:rsidRPr="004F2278">
        <w:rPr>
          <w:rFonts w:ascii="Helvetica" w:hAnsi="Helvetica" w:cs="Helvetica"/>
          <w:b/>
          <w:color w:val="548DD4"/>
          <w:sz w:val="26"/>
          <w:szCs w:val="26"/>
        </w:rPr>
        <w:t xml:space="preserve"> Timeliness</w:t>
      </w:r>
      <w:r w:rsidR="000713A2">
        <w:rPr>
          <w:rFonts w:ascii="Helvetica" w:hAnsi="Helvetica" w:cs="Helvetica"/>
          <w:b/>
          <w:color w:val="548DD4"/>
          <w:sz w:val="26"/>
          <w:szCs w:val="26"/>
        </w:rPr>
        <w:t xml:space="preserve"> </w:t>
      </w:r>
    </w:p>
    <w:p w14:paraId="5BA5AC88" w14:textId="0D724389" w:rsidR="00225E35" w:rsidRPr="004F2278" w:rsidRDefault="000713A2" w:rsidP="00321CD2">
      <w:pPr>
        <w:jc w:val="center"/>
        <w:rPr>
          <w:rFonts w:ascii="Helvetica" w:hAnsi="Helvetica" w:cs="Helvetica"/>
          <w:b/>
          <w:color w:val="548DD4"/>
          <w:sz w:val="26"/>
          <w:szCs w:val="26"/>
        </w:rPr>
      </w:pPr>
      <w:r>
        <w:rPr>
          <w:rFonts w:ascii="Helvetica" w:hAnsi="Helvetica" w:cs="Helvetica"/>
          <w:b/>
          <w:color w:val="548DD4"/>
          <w:sz w:val="26"/>
          <w:szCs w:val="26"/>
        </w:rPr>
        <w:t>&amp; Communication with the Complainant</w:t>
      </w:r>
    </w:p>
    <w:p w14:paraId="35BA6F51" w14:textId="0F5F23FA" w:rsidR="005003F8" w:rsidRPr="004F2278" w:rsidRDefault="005003F8" w:rsidP="00321CD2">
      <w:pPr>
        <w:jc w:val="center"/>
        <w:rPr>
          <w:rFonts w:ascii="Helvetica" w:hAnsi="Helvetica" w:cs="Helvetica"/>
          <w:b/>
          <w:color w:val="548DD4"/>
          <w:sz w:val="26"/>
          <w:szCs w:val="26"/>
        </w:rPr>
      </w:pPr>
    </w:p>
    <w:p w14:paraId="4FF3F24E" w14:textId="77777777" w:rsidR="005003F8" w:rsidRPr="004F2278" w:rsidRDefault="005003F8" w:rsidP="00321CD2">
      <w:pPr>
        <w:jc w:val="center"/>
        <w:rPr>
          <w:rFonts w:ascii="Helvetica" w:hAnsi="Helvetica" w:cs="Helvetica"/>
          <w:b/>
          <w:color w:val="548DD4"/>
          <w:sz w:val="26"/>
          <w:szCs w:val="26"/>
        </w:rPr>
      </w:pPr>
    </w:p>
    <w:p w14:paraId="435ECA1B" w14:textId="1C9A9F6D" w:rsidR="005003F8" w:rsidRPr="004F2278" w:rsidRDefault="005003F8" w:rsidP="00321CD2">
      <w:pPr>
        <w:jc w:val="center"/>
        <w:rPr>
          <w:rFonts w:ascii="Helvetica" w:hAnsi="Helvetica" w:cs="Helvetica"/>
          <w:b/>
          <w:color w:val="1F497D" w:themeColor="text2"/>
          <w:sz w:val="26"/>
          <w:szCs w:val="26"/>
        </w:rPr>
      </w:pPr>
      <w:r w:rsidRPr="004F2278">
        <w:rPr>
          <w:rFonts w:ascii="Helvetica" w:hAnsi="Helvetica" w:cs="Helvetica"/>
          <w:b/>
          <w:color w:val="1F497D" w:themeColor="text2"/>
          <w:sz w:val="26"/>
          <w:szCs w:val="26"/>
        </w:rPr>
        <w:t>OPCC Findings &amp; Feedback</w:t>
      </w:r>
    </w:p>
    <w:p w14:paraId="7DD8CEEB" w14:textId="77777777" w:rsidR="008122F0" w:rsidRPr="004F2278" w:rsidRDefault="008122F0" w:rsidP="00253B7D">
      <w:pPr>
        <w:jc w:val="center"/>
        <w:rPr>
          <w:rFonts w:ascii="Helvetica" w:hAnsi="Helvetica" w:cs="Helvetica"/>
          <w:b/>
          <w:color w:val="548DD4"/>
          <w:sz w:val="26"/>
          <w:szCs w:val="26"/>
        </w:rPr>
      </w:pPr>
    </w:p>
    <w:p w14:paraId="018714B2" w14:textId="77777777" w:rsidR="00134DDB" w:rsidRPr="004F2278" w:rsidRDefault="00134DDB" w:rsidP="00253B7D">
      <w:pPr>
        <w:jc w:val="center"/>
        <w:rPr>
          <w:rFonts w:ascii="Helvetica" w:hAnsi="Helvetica" w:cs="Helvetica"/>
          <w:b/>
          <w:color w:val="17365D"/>
          <w:sz w:val="26"/>
          <w:szCs w:val="26"/>
        </w:rPr>
      </w:pPr>
    </w:p>
    <w:p w14:paraId="3631A5CA" w14:textId="001869F1" w:rsidR="00134DDB" w:rsidRPr="004F2278" w:rsidRDefault="007648BA" w:rsidP="00253B7D">
      <w:pPr>
        <w:jc w:val="center"/>
        <w:rPr>
          <w:rFonts w:ascii="Helvetica" w:hAnsi="Helvetica" w:cs="Helvetica"/>
          <w:b/>
          <w:color w:val="17365D"/>
          <w:sz w:val="26"/>
          <w:szCs w:val="26"/>
        </w:rPr>
      </w:pPr>
      <w:r w:rsidRPr="004F2278">
        <w:rPr>
          <w:rFonts w:ascii="Helvetica" w:hAnsi="Helvetica" w:cs="Helvetica"/>
          <w:b/>
          <w:color w:val="17365D"/>
          <w:sz w:val="26"/>
          <w:szCs w:val="26"/>
        </w:rPr>
        <w:t>November</w:t>
      </w:r>
      <w:r w:rsidR="009E1606" w:rsidRPr="004F2278">
        <w:rPr>
          <w:rFonts w:ascii="Helvetica" w:hAnsi="Helvetica" w:cs="Helvetica"/>
          <w:b/>
          <w:color w:val="17365D"/>
          <w:sz w:val="26"/>
          <w:szCs w:val="26"/>
        </w:rPr>
        <w:t xml:space="preserve"> 2019</w:t>
      </w:r>
    </w:p>
    <w:p w14:paraId="29B207E8" w14:textId="77777777" w:rsidR="0043716A" w:rsidRPr="00A12C3F" w:rsidRDefault="0043716A" w:rsidP="00BE287E">
      <w:pPr>
        <w:jc w:val="both"/>
        <w:rPr>
          <w:rFonts w:ascii="Helvetica" w:hAnsi="Helvetica" w:cs="Helvetica"/>
          <w:b/>
        </w:rPr>
      </w:pPr>
    </w:p>
    <w:p w14:paraId="2DE62633" w14:textId="77777777" w:rsidR="00E64596" w:rsidRPr="00A12C3F" w:rsidRDefault="00E64596" w:rsidP="00BE287E">
      <w:pPr>
        <w:jc w:val="both"/>
        <w:rPr>
          <w:rFonts w:ascii="Helvetica" w:hAnsi="Helvetica" w:cs="Helvetica"/>
          <w:b/>
          <w:bCs/>
          <w:color w:val="365F91"/>
        </w:rPr>
        <w:sectPr w:rsidR="00E64596" w:rsidRPr="00A12C3F" w:rsidSect="00FE59E2">
          <w:headerReference w:type="default" r:id="rId13"/>
          <w:pgSz w:w="11906" w:h="16838"/>
          <w:pgMar w:top="1440" w:right="1440" w:bottom="1440" w:left="1440" w:header="708" w:footer="708" w:gutter="0"/>
          <w:cols w:space="708"/>
          <w:docGrid w:linePitch="360"/>
        </w:sectPr>
      </w:pPr>
    </w:p>
    <w:p w14:paraId="715440F9" w14:textId="141E2809" w:rsidR="00C823D7" w:rsidRPr="00A12C3F" w:rsidRDefault="007648BA" w:rsidP="00A66849">
      <w:pPr>
        <w:pStyle w:val="Heading2"/>
        <w:spacing w:after="240"/>
        <w:rPr>
          <w:rFonts w:ascii="Helvetica" w:hAnsi="Helvetica" w:cs="Helvetica"/>
        </w:rPr>
      </w:pPr>
      <w:r w:rsidRPr="00A12C3F">
        <w:rPr>
          <w:rFonts w:ascii="Helvetica" w:hAnsi="Helvetica" w:cs="Helvetica"/>
        </w:rPr>
        <w:lastRenderedPageBreak/>
        <w:t>1.0 Overview</w:t>
      </w:r>
    </w:p>
    <w:p w14:paraId="32C90766" w14:textId="1EBBD33C" w:rsidR="00256F19" w:rsidRPr="00A12C3F" w:rsidRDefault="007648BA" w:rsidP="00770967">
      <w:pPr>
        <w:pStyle w:val="NoSpacing"/>
        <w:rPr>
          <w:rFonts w:ascii="Helvetica" w:hAnsi="Helvetica" w:cs="Helvetica"/>
        </w:rPr>
      </w:pPr>
      <w:r w:rsidRPr="00A12C3F">
        <w:rPr>
          <w:rFonts w:ascii="Helvetica" w:hAnsi="Helvetica" w:cs="Helvetica"/>
        </w:rPr>
        <w:t>On 24</w:t>
      </w:r>
      <w:r w:rsidRPr="00A12C3F">
        <w:rPr>
          <w:rFonts w:ascii="Helvetica" w:hAnsi="Helvetica" w:cs="Helvetica"/>
          <w:vertAlign w:val="superscript"/>
        </w:rPr>
        <w:t>th</w:t>
      </w:r>
      <w:r w:rsidRPr="00A12C3F">
        <w:rPr>
          <w:rFonts w:ascii="Helvetica" w:hAnsi="Helvetica" w:cs="Helvetica"/>
        </w:rPr>
        <w:t xml:space="preserve"> October 2019 the Office for the Police and Crime Commissioner (OPCC) reviewed a random selection of closed Professional Standards Department (PSD) </w:t>
      </w:r>
      <w:r w:rsidR="00256F19" w:rsidRPr="00A12C3F">
        <w:rPr>
          <w:rFonts w:ascii="Helvetica" w:hAnsi="Helvetica" w:cs="Helvetica"/>
        </w:rPr>
        <w:t>complaint cases</w:t>
      </w:r>
      <w:r w:rsidRPr="00A12C3F">
        <w:rPr>
          <w:rFonts w:ascii="Helvetica" w:hAnsi="Helvetica" w:cs="Helvetica"/>
        </w:rPr>
        <w:t xml:space="preserve"> for the last complete quarter i.e. July – September 2019. The main purpose of this scrutiny work was to independently review the timeliness/updates provided to the complainant by PSD. If </w:t>
      </w:r>
      <w:r w:rsidR="000D3A36" w:rsidRPr="00A12C3F">
        <w:rPr>
          <w:rFonts w:ascii="Helvetica" w:hAnsi="Helvetica" w:cs="Helvetica"/>
        </w:rPr>
        <w:t xml:space="preserve">any closed complaint cases have not been recorded </w:t>
      </w:r>
      <w:r w:rsidRPr="00A12C3F">
        <w:rPr>
          <w:rFonts w:ascii="Helvetica" w:hAnsi="Helvetica" w:cs="Helvetica"/>
        </w:rPr>
        <w:t>within the IOPC guid</w:t>
      </w:r>
      <w:r w:rsidR="007D4B0E" w:rsidRPr="00A12C3F">
        <w:rPr>
          <w:rFonts w:ascii="Helvetica" w:hAnsi="Helvetica" w:cs="Helvetica"/>
        </w:rPr>
        <w:t>ance and Police Complaint Regulations regarding</w:t>
      </w:r>
      <w:r w:rsidRPr="00A12C3F">
        <w:rPr>
          <w:rFonts w:ascii="Helvetica" w:hAnsi="Helvetica" w:cs="Helvetica"/>
        </w:rPr>
        <w:t xml:space="preserve"> timeliness, establish the cause of this and </w:t>
      </w:r>
      <w:r w:rsidR="007D4B0E" w:rsidRPr="00A12C3F">
        <w:rPr>
          <w:rFonts w:ascii="Helvetica" w:hAnsi="Helvetica" w:cs="Helvetica"/>
        </w:rPr>
        <w:t xml:space="preserve">determine whether or not </w:t>
      </w:r>
      <w:r w:rsidRPr="00A12C3F">
        <w:rPr>
          <w:rFonts w:ascii="Helvetica" w:hAnsi="Helvetica" w:cs="Helvetica"/>
        </w:rPr>
        <w:t>any learning can be identified.</w:t>
      </w:r>
    </w:p>
    <w:p w14:paraId="069CC868" w14:textId="77777777" w:rsidR="00687E3F" w:rsidRPr="00A12C3F" w:rsidRDefault="00687E3F" w:rsidP="00770967">
      <w:pPr>
        <w:pStyle w:val="NoSpacing"/>
        <w:rPr>
          <w:rFonts w:ascii="Helvetica" w:hAnsi="Helvetica" w:cs="Helvetica"/>
        </w:rPr>
      </w:pPr>
    </w:p>
    <w:p w14:paraId="43CB45EE" w14:textId="0ED69044" w:rsidR="00256F19" w:rsidRPr="00A12C3F" w:rsidRDefault="00256F19" w:rsidP="00256F19">
      <w:pPr>
        <w:pStyle w:val="Heading2"/>
        <w:spacing w:after="240"/>
        <w:rPr>
          <w:rFonts w:ascii="Helvetica" w:hAnsi="Helvetica" w:cs="Helvetica"/>
        </w:rPr>
      </w:pPr>
      <w:r w:rsidRPr="00A12C3F">
        <w:rPr>
          <w:rFonts w:ascii="Helvetica" w:hAnsi="Helvetica" w:cs="Helvetica"/>
        </w:rPr>
        <w:t>2.0 Background, Purpose and Methodology</w:t>
      </w:r>
    </w:p>
    <w:p w14:paraId="0C291958" w14:textId="6D52E303" w:rsidR="00687E3F" w:rsidRPr="00A12C3F" w:rsidRDefault="00256F19" w:rsidP="00256F19">
      <w:pPr>
        <w:pStyle w:val="NoSpacing"/>
        <w:rPr>
          <w:rFonts w:ascii="Helvetica" w:hAnsi="Helvetica" w:cs="Helvetica"/>
        </w:rPr>
      </w:pPr>
      <w:r w:rsidRPr="00A12C3F">
        <w:rPr>
          <w:rFonts w:ascii="Helvetica" w:hAnsi="Helvetica" w:cs="Helvetica"/>
        </w:rPr>
        <w:t xml:space="preserve">The background and purpose of the scrutiny dip sampling work, alongside how the dip sampling is carried out is detailed within the Complaints Scrutiny Framework and Dip Sampling Protocol, which are available on the PCC website </w:t>
      </w:r>
      <w:r w:rsidR="00687E3F" w:rsidRPr="00A12C3F">
        <w:rPr>
          <w:rFonts w:ascii="Helvetica" w:hAnsi="Helvetica" w:cs="Helvetica"/>
        </w:rPr>
        <w:t xml:space="preserve">via the following hyperlink: </w:t>
      </w:r>
      <w:hyperlink r:id="rId14" w:history="1">
        <w:r w:rsidR="00687E3F" w:rsidRPr="00A12C3F">
          <w:rPr>
            <w:rStyle w:val="Hyperlink"/>
            <w:rFonts w:ascii="Helvetica" w:hAnsi="Helvetica" w:cs="Helvetica"/>
          </w:rPr>
          <w:t>http://www.dyfedpowys-pcc.org.uk/en/the-office/strategies-and-policies/</w:t>
        </w:r>
      </w:hyperlink>
      <w:r w:rsidRPr="00A12C3F">
        <w:rPr>
          <w:rFonts w:ascii="Helvetica" w:hAnsi="Helvetica" w:cs="Helvetica"/>
        </w:rPr>
        <w:t>.</w:t>
      </w:r>
    </w:p>
    <w:p w14:paraId="1FDBD6AA" w14:textId="77777777" w:rsidR="00687E3F" w:rsidRPr="00A12C3F" w:rsidRDefault="00687E3F" w:rsidP="00256F19">
      <w:pPr>
        <w:pStyle w:val="NoSpacing"/>
        <w:rPr>
          <w:rFonts w:ascii="Helvetica" w:hAnsi="Helvetica" w:cs="Helvetica"/>
        </w:rPr>
      </w:pPr>
    </w:p>
    <w:p w14:paraId="2EE9843C" w14:textId="79080D36" w:rsidR="00687E3F" w:rsidRPr="00A12C3F" w:rsidRDefault="00687E3F" w:rsidP="00687E3F">
      <w:pPr>
        <w:pStyle w:val="Heading2"/>
        <w:spacing w:after="240"/>
        <w:rPr>
          <w:rFonts w:ascii="Helvetica" w:hAnsi="Helvetica" w:cs="Helvetica"/>
        </w:rPr>
      </w:pPr>
      <w:r w:rsidRPr="00A12C3F">
        <w:rPr>
          <w:rFonts w:ascii="Helvetica" w:hAnsi="Helvetica" w:cs="Helvetica"/>
        </w:rPr>
        <w:t>3.0 Professional Standards Closed Complaint Cases</w:t>
      </w:r>
    </w:p>
    <w:p w14:paraId="5FEDC721" w14:textId="65521E5D" w:rsidR="00995F74" w:rsidRPr="00A12C3F" w:rsidRDefault="00687E3F" w:rsidP="00687E3F">
      <w:pPr>
        <w:pStyle w:val="NoSpacing"/>
        <w:rPr>
          <w:rFonts w:ascii="Helvetica" w:hAnsi="Helvetica" w:cs="Helvetica"/>
        </w:rPr>
      </w:pPr>
      <w:r w:rsidRPr="00A12C3F">
        <w:rPr>
          <w:rFonts w:ascii="Helvetica" w:hAnsi="Helvetica" w:cs="Helvetica"/>
        </w:rPr>
        <w:t>The OPCC reviewed a total of 8 complaint cases closed between 1</w:t>
      </w:r>
      <w:r w:rsidRPr="00A12C3F">
        <w:rPr>
          <w:rFonts w:ascii="Helvetica" w:hAnsi="Helvetica" w:cs="Helvetica"/>
          <w:vertAlign w:val="superscript"/>
        </w:rPr>
        <w:t>st</w:t>
      </w:r>
      <w:r w:rsidRPr="00A12C3F">
        <w:rPr>
          <w:rFonts w:ascii="Helvetica" w:hAnsi="Helvetica" w:cs="Helvetica"/>
        </w:rPr>
        <w:t xml:space="preserve"> July 2019 and 30</w:t>
      </w:r>
      <w:r w:rsidRPr="00A12C3F">
        <w:rPr>
          <w:rFonts w:ascii="Helvetica" w:hAnsi="Helvetica" w:cs="Helvetica"/>
          <w:vertAlign w:val="superscript"/>
        </w:rPr>
        <w:t>th</w:t>
      </w:r>
      <w:r w:rsidRPr="00A12C3F">
        <w:rPr>
          <w:rFonts w:ascii="Helvetica" w:hAnsi="Helvetica" w:cs="Helvetica"/>
        </w:rPr>
        <w:t xml:space="preserve"> September 2019 (10% of the total cases closed during the time period). </w:t>
      </w:r>
      <w:r w:rsidR="00170979" w:rsidRPr="00A12C3F">
        <w:rPr>
          <w:rFonts w:ascii="Helvetica" w:hAnsi="Helvetica" w:cs="Helvetica"/>
        </w:rPr>
        <w:t xml:space="preserve">PSD provided the closed complaint case reference numbers alongside the allegation result and area responsible for the complaint. In order to ensure that the OPCC considered a range of closed complaint cases, the OPCC requested eight closed complaint cases that reflected at least one of each ‘allegation result’ and  ‘area responsible’ </w:t>
      </w:r>
      <w:r w:rsidR="00995F74" w:rsidRPr="00A12C3F">
        <w:rPr>
          <w:rFonts w:ascii="Helvetica" w:hAnsi="Helvetica" w:cs="Helvetica"/>
        </w:rPr>
        <w:t>The eight complaint cases considered consisted of the following breakdown:</w:t>
      </w:r>
    </w:p>
    <w:p w14:paraId="4E71C702" w14:textId="50374AA5" w:rsidR="00995F74" w:rsidRPr="00A12C3F" w:rsidRDefault="00995F74" w:rsidP="00687E3F">
      <w:pPr>
        <w:pStyle w:val="NoSpacing"/>
        <w:rPr>
          <w:rFonts w:ascii="Helvetica" w:hAnsi="Helvetica" w:cs="Helvetica"/>
        </w:rPr>
      </w:pPr>
    </w:p>
    <w:p w14:paraId="078B3B6D" w14:textId="5F2DED1F" w:rsidR="00995F74" w:rsidRPr="00A12C3F" w:rsidRDefault="00995F74" w:rsidP="00995F74">
      <w:pPr>
        <w:pStyle w:val="NoSpacing"/>
        <w:rPr>
          <w:rFonts w:ascii="Helvetica" w:hAnsi="Helvetica" w:cs="Helvetica"/>
          <w:u w:val="single"/>
        </w:rPr>
      </w:pPr>
      <w:r w:rsidRPr="00A12C3F">
        <w:rPr>
          <w:rFonts w:ascii="Helvetica" w:hAnsi="Helvetica" w:cs="Helvetica"/>
          <w:u w:val="single"/>
        </w:rPr>
        <w:t>Allegation Result</w:t>
      </w:r>
    </w:p>
    <w:p w14:paraId="7FEE982C" w14:textId="4A8974BD" w:rsidR="00995F74" w:rsidRPr="00A12C3F" w:rsidRDefault="00995F74" w:rsidP="00995F74">
      <w:pPr>
        <w:pStyle w:val="NoSpacing"/>
        <w:rPr>
          <w:rFonts w:ascii="Helvetica" w:hAnsi="Helvetica" w:cs="Helvetica"/>
        </w:rPr>
      </w:pPr>
    </w:p>
    <w:p w14:paraId="165045A3" w14:textId="31923268" w:rsidR="00995F74" w:rsidRPr="00A12C3F" w:rsidRDefault="00995F74" w:rsidP="00995F74">
      <w:pPr>
        <w:pStyle w:val="NoSpacing"/>
        <w:rPr>
          <w:rFonts w:ascii="Helvetica" w:hAnsi="Helvetica" w:cs="Helvetica"/>
        </w:rPr>
      </w:pPr>
      <w:r w:rsidRPr="00A12C3F">
        <w:rPr>
          <w:rFonts w:ascii="Helvetica" w:hAnsi="Helvetica" w:cs="Helvetica"/>
        </w:rPr>
        <w:t>Disapplication by Force:</w:t>
      </w:r>
      <w:r w:rsidRPr="00A12C3F">
        <w:rPr>
          <w:rFonts w:ascii="Helvetica" w:hAnsi="Helvetica" w:cs="Helvetica"/>
        </w:rPr>
        <w:tab/>
        <w:t>2 complaint cases</w:t>
      </w:r>
    </w:p>
    <w:p w14:paraId="540979AC" w14:textId="3D0932FF" w:rsidR="00995F74" w:rsidRPr="00A12C3F" w:rsidRDefault="00995F74" w:rsidP="00995F74">
      <w:pPr>
        <w:pStyle w:val="NoSpacing"/>
        <w:rPr>
          <w:rFonts w:ascii="Helvetica" w:hAnsi="Helvetica" w:cs="Helvetica"/>
        </w:rPr>
      </w:pPr>
      <w:r w:rsidRPr="00A12C3F">
        <w:rPr>
          <w:rFonts w:ascii="Helvetica" w:hAnsi="Helvetica" w:cs="Helvetica"/>
        </w:rPr>
        <w:t>Local Resolution:</w:t>
      </w:r>
      <w:r w:rsidRPr="00A12C3F">
        <w:rPr>
          <w:rFonts w:ascii="Helvetica" w:hAnsi="Helvetica" w:cs="Helvetica"/>
        </w:rPr>
        <w:tab/>
      </w:r>
      <w:r w:rsidRPr="00A12C3F">
        <w:rPr>
          <w:rFonts w:ascii="Helvetica" w:hAnsi="Helvetica" w:cs="Helvetica"/>
        </w:rPr>
        <w:tab/>
        <w:t>3 complaint cases</w:t>
      </w:r>
    </w:p>
    <w:p w14:paraId="24F62892" w14:textId="06ED5C34" w:rsidR="00995F74" w:rsidRPr="00A12C3F" w:rsidRDefault="00995F74" w:rsidP="00995F74">
      <w:pPr>
        <w:pStyle w:val="NoSpacing"/>
        <w:rPr>
          <w:rFonts w:ascii="Helvetica" w:hAnsi="Helvetica" w:cs="Helvetica"/>
        </w:rPr>
      </w:pPr>
      <w:r w:rsidRPr="00A12C3F">
        <w:rPr>
          <w:rFonts w:ascii="Helvetica" w:hAnsi="Helvetica" w:cs="Helvetica"/>
        </w:rPr>
        <w:t>Not Upheld:</w:t>
      </w:r>
      <w:r w:rsidRPr="00A12C3F">
        <w:rPr>
          <w:rFonts w:ascii="Helvetica" w:hAnsi="Helvetica" w:cs="Helvetica"/>
        </w:rPr>
        <w:tab/>
      </w:r>
      <w:r w:rsidRPr="00A12C3F">
        <w:rPr>
          <w:rFonts w:ascii="Helvetica" w:hAnsi="Helvetica" w:cs="Helvetica"/>
        </w:rPr>
        <w:tab/>
      </w:r>
      <w:r w:rsidRPr="00A12C3F">
        <w:rPr>
          <w:rFonts w:ascii="Helvetica" w:hAnsi="Helvetica" w:cs="Helvetica"/>
        </w:rPr>
        <w:tab/>
        <w:t>1 complaint case</w:t>
      </w:r>
    </w:p>
    <w:p w14:paraId="2701C678" w14:textId="309B68DD" w:rsidR="00995F74" w:rsidRPr="00A12C3F" w:rsidRDefault="00995F74" w:rsidP="00995F74">
      <w:pPr>
        <w:pStyle w:val="NoSpacing"/>
        <w:rPr>
          <w:rFonts w:ascii="Helvetica" w:hAnsi="Helvetica" w:cs="Helvetica"/>
        </w:rPr>
      </w:pPr>
      <w:r w:rsidRPr="00A12C3F">
        <w:rPr>
          <w:rFonts w:ascii="Helvetica" w:hAnsi="Helvetica" w:cs="Helvetica"/>
        </w:rPr>
        <w:t>Upheld:</w:t>
      </w:r>
      <w:r w:rsidRPr="00A12C3F">
        <w:rPr>
          <w:rFonts w:ascii="Helvetica" w:hAnsi="Helvetica" w:cs="Helvetica"/>
        </w:rPr>
        <w:tab/>
      </w:r>
      <w:r w:rsidRPr="00A12C3F">
        <w:rPr>
          <w:rFonts w:ascii="Helvetica" w:hAnsi="Helvetica" w:cs="Helvetica"/>
        </w:rPr>
        <w:tab/>
      </w:r>
      <w:r w:rsidRPr="00A12C3F">
        <w:rPr>
          <w:rFonts w:ascii="Helvetica" w:hAnsi="Helvetica" w:cs="Helvetica"/>
        </w:rPr>
        <w:tab/>
        <w:t>1 complaint case</w:t>
      </w:r>
    </w:p>
    <w:p w14:paraId="5512A5AC" w14:textId="6388745C" w:rsidR="00995F74" w:rsidRPr="00A12C3F" w:rsidRDefault="00995F74" w:rsidP="00995F74">
      <w:pPr>
        <w:pStyle w:val="NoSpacing"/>
        <w:rPr>
          <w:rFonts w:ascii="Helvetica" w:hAnsi="Helvetica" w:cs="Helvetica"/>
        </w:rPr>
      </w:pPr>
      <w:r w:rsidRPr="00A12C3F">
        <w:rPr>
          <w:rFonts w:ascii="Helvetica" w:hAnsi="Helvetica" w:cs="Helvetica"/>
        </w:rPr>
        <w:t>Withdrawn:</w:t>
      </w:r>
      <w:r w:rsidRPr="00A12C3F">
        <w:rPr>
          <w:rFonts w:ascii="Helvetica" w:hAnsi="Helvetica" w:cs="Helvetica"/>
        </w:rPr>
        <w:tab/>
      </w:r>
      <w:r w:rsidRPr="00A12C3F">
        <w:rPr>
          <w:rFonts w:ascii="Helvetica" w:hAnsi="Helvetica" w:cs="Helvetica"/>
        </w:rPr>
        <w:tab/>
      </w:r>
      <w:r w:rsidRPr="00A12C3F">
        <w:rPr>
          <w:rFonts w:ascii="Helvetica" w:hAnsi="Helvetica" w:cs="Helvetica"/>
        </w:rPr>
        <w:tab/>
        <w:t>1 complaint case</w:t>
      </w:r>
    </w:p>
    <w:p w14:paraId="04E4CE75" w14:textId="5C98CB43" w:rsidR="00995F74" w:rsidRPr="00A12C3F" w:rsidRDefault="00995F74" w:rsidP="00995F74">
      <w:pPr>
        <w:pStyle w:val="NoSpacing"/>
        <w:rPr>
          <w:rFonts w:ascii="Helvetica" w:hAnsi="Helvetica" w:cs="Helvetica"/>
        </w:rPr>
      </w:pPr>
    </w:p>
    <w:p w14:paraId="6CBAAC4D" w14:textId="6E531000" w:rsidR="00995F74" w:rsidRPr="00A12C3F" w:rsidRDefault="00995F74" w:rsidP="00995F74">
      <w:pPr>
        <w:pStyle w:val="NoSpacing"/>
        <w:rPr>
          <w:rFonts w:ascii="Helvetica" w:hAnsi="Helvetica" w:cs="Helvetica"/>
          <w:u w:val="single"/>
        </w:rPr>
      </w:pPr>
      <w:r w:rsidRPr="00A12C3F">
        <w:rPr>
          <w:rFonts w:ascii="Helvetica" w:hAnsi="Helvetica" w:cs="Helvetica"/>
          <w:u w:val="single"/>
        </w:rPr>
        <w:t>Area Responsible</w:t>
      </w:r>
    </w:p>
    <w:p w14:paraId="0399CA49" w14:textId="24E59494" w:rsidR="00995F74" w:rsidRPr="00A12C3F" w:rsidRDefault="00995F74" w:rsidP="00995F74">
      <w:pPr>
        <w:pStyle w:val="NoSpacing"/>
        <w:rPr>
          <w:rFonts w:ascii="Helvetica" w:hAnsi="Helvetica" w:cs="Helvetica"/>
        </w:rPr>
      </w:pPr>
    </w:p>
    <w:p w14:paraId="1681C098" w14:textId="6EF497A4" w:rsidR="00995F74" w:rsidRPr="00A12C3F" w:rsidRDefault="00995F74" w:rsidP="00995F74">
      <w:pPr>
        <w:pStyle w:val="NoSpacing"/>
        <w:rPr>
          <w:rFonts w:ascii="Helvetica" w:hAnsi="Helvetica" w:cs="Helvetica"/>
        </w:rPr>
      </w:pPr>
      <w:r w:rsidRPr="00A12C3F">
        <w:rPr>
          <w:rFonts w:ascii="Helvetica" w:hAnsi="Helvetica" w:cs="Helvetica"/>
        </w:rPr>
        <w:t>Carmarthenshire:</w:t>
      </w:r>
      <w:r w:rsidRPr="00A12C3F">
        <w:rPr>
          <w:rFonts w:ascii="Helvetica" w:hAnsi="Helvetica" w:cs="Helvetica"/>
        </w:rPr>
        <w:tab/>
      </w:r>
      <w:r w:rsidRPr="00A12C3F">
        <w:rPr>
          <w:rFonts w:ascii="Helvetica" w:hAnsi="Helvetica" w:cs="Helvetica"/>
        </w:rPr>
        <w:tab/>
        <w:t>1 complaint case</w:t>
      </w:r>
    </w:p>
    <w:p w14:paraId="750F6FDB" w14:textId="41753E59" w:rsidR="00995F74" w:rsidRPr="00A12C3F" w:rsidRDefault="00995F74" w:rsidP="00995F74">
      <w:pPr>
        <w:pStyle w:val="NoSpacing"/>
        <w:rPr>
          <w:rFonts w:ascii="Helvetica" w:hAnsi="Helvetica" w:cs="Helvetica"/>
        </w:rPr>
      </w:pPr>
      <w:r w:rsidRPr="00A12C3F">
        <w:rPr>
          <w:rFonts w:ascii="Helvetica" w:hAnsi="Helvetica" w:cs="Helvetica"/>
        </w:rPr>
        <w:t>Ceredigion:</w:t>
      </w:r>
      <w:r w:rsidRPr="00A12C3F">
        <w:rPr>
          <w:rFonts w:ascii="Helvetica" w:hAnsi="Helvetica" w:cs="Helvetica"/>
        </w:rPr>
        <w:tab/>
      </w:r>
      <w:r w:rsidRPr="00A12C3F">
        <w:rPr>
          <w:rFonts w:ascii="Helvetica" w:hAnsi="Helvetica" w:cs="Helvetica"/>
        </w:rPr>
        <w:tab/>
      </w:r>
      <w:r w:rsidRPr="00A12C3F">
        <w:rPr>
          <w:rFonts w:ascii="Helvetica" w:hAnsi="Helvetica" w:cs="Helvetica"/>
        </w:rPr>
        <w:tab/>
        <w:t>1 complaint case</w:t>
      </w:r>
    </w:p>
    <w:p w14:paraId="49E5AA55" w14:textId="6ADDF532" w:rsidR="00995F74" w:rsidRPr="00A12C3F" w:rsidRDefault="00995F74" w:rsidP="00995F74">
      <w:pPr>
        <w:pStyle w:val="NoSpacing"/>
        <w:rPr>
          <w:rFonts w:ascii="Helvetica" w:hAnsi="Helvetica" w:cs="Helvetica"/>
        </w:rPr>
      </w:pPr>
      <w:r w:rsidRPr="00A12C3F">
        <w:rPr>
          <w:rFonts w:ascii="Helvetica" w:hAnsi="Helvetica" w:cs="Helvetica"/>
        </w:rPr>
        <w:t>Pembrokeshire:</w:t>
      </w:r>
      <w:r w:rsidRPr="00A12C3F">
        <w:rPr>
          <w:rFonts w:ascii="Helvetica" w:hAnsi="Helvetica" w:cs="Helvetica"/>
        </w:rPr>
        <w:tab/>
      </w:r>
      <w:r w:rsidRPr="00A12C3F">
        <w:rPr>
          <w:rFonts w:ascii="Helvetica" w:hAnsi="Helvetica" w:cs="Helvetica"/>
        </w:rPr>
        <w:tab/>
        <w:t>1 complaint case</w:t>
      </w:r>
    </w:p>
    <w:p w14:paraId="601471A7" w14:textId="7F213021" w:rsidR="00995F74" w:rsidRPr="00A12C3F" w:rsidRDefault="00995F74" w:rsidP="00995F74">
      <w:pPr>
        <w:pStyle w:val="NoSpacing"/>
        <w:rPr>
          <w:rFonts w:ascii="Helvetica" w:hAnsi="Helvetica" w:cs="Helvetica"/>
        </w:rPr>
      </w:pPr>
      <w:r w:rsidRPr="00A12C3F">
        <w:rPr>
          <w:rFonts w:ascii="Helvetica" w:hAnsi="Helvetica" w:cs="Helvetica"/>
        </w:rPr>
        <w:t>Powys:</w:t>
      </w:r>
      <w:r w:rsidRPr="00A12C3F">
        <w:rPr>
          <w:rFonts w:ascii="Helvetica" w:hAnsi="Helvetica" w:cs="Helvetica"/>
        </w:rPr>
        <w:tab/>
      </w:r>
      <w:r w:rsidRPr="00A12C3F">
        <w:rPr>
          <w:rFonts w:ascii="Helvetica" w:hAnsi="Helvetica" w:cs="Helvetica"/>
        </w:rPr>
        <w:tab/>
      </w:r>
      <w:r w:rsidRPr="00A12C3F">
        <w:rPr>
          <w:rFonts w:ascii="Helvetica" w:hAnsi="Helvetica" w:cs="Helvetica"/>
        </w:rPr>
        <w:tab/>
      </w:r>
      <w:r w:rsidRPr="00A12C3F">
        <w:rPr>
          <w:rFonts w:ascii="Helvetica" w:hAnsi="Helvetica" w:cs="Helvetica"/>
        </w:rPr>
        <w:tab/>
        <w:t>2 complaint cases</w:t>
      </w:r>
    </w:p>
    <w:p w14:paraId="37405275" w14:textId="6ED909A9" w:rsidR="00995F74" w:rsidRPr="00A12C3F" w:rsidRDefault="00995F74" w:rsidP="00995F74">
      <w:pPr>
        <w:pStyle w:val="NoSpacing"/>
        <w:rPr>
          <w:rFonts w:ascii="Helvetica" w:hAnsi="Helvetica" w:cs="Helvetica"/>
        </w:rPr>
      </w:pPr>
      <w:r w:rsidRPr="00A12C3F">
        <w:rPr>
          <w:rFonts w:ascii="Helvetica" w:hAnsi="Helvetica" w:cs="Helvetica"/>
        </w:rPr>
        <w:t>Headquarters:</w:t>
      </w:r>
      <w:r w:rsidRPr="00A12C3F">
        <w:rPr>
          <w:rFonts w:ascii="Helvetica" w:hAnsi="Helvetica" w:cs="Helvetica"/>
        </w:rPr>
        <w:tab/>
      </w:r>
      <w:r w:rsidRPr="00A12C3F">
        <w:rPr>
          <w:rFonts w:ascii="Helvetica" w:hAnsi="Helvetica" w:cs="Helvetica"/>
        </w:rPr>
        <w:tab/>
      </w:r>
      <w:r w:rsidRPr="00A12C3F">
        <w:rPr>
          <w:rFonts w:ascii="Helvetica" w:hAnsi="Helvetica" w:cs="Helvetica"/>
        </w:rPr>
        <w:tab/>
        <w:t>3 complaint cases</w:t>
      </w:r>
    </w:p>
    <w:p w14:paraId="045F5FE2" w14:textId="547E1A5F" w:rsidR="00995F74" w:rsidRPr="00A12C3F" w:rsidRDefault="00995F74" w:rsidP="00995F74">
      <w:pPr>
        <w:pStyle w:val="NoSpacing"/>
        <w:rPr>
          <w:rFonts w:ascii="Helvetica" w:hAnsi="Helvetica" w:cs="Helvetica"/>
        </w:rPr>
      </w:pPr>
    </w:p>
    <w:p w14:paraId="431224AB" w14:textId="1F4CB26B" w:rsidR="00213CF8" w:rsidRPr="00A12C3F" w:rsidRDefault="00687E3F" w:rsidP="00687E3F">
      <w:pPr>
        <w:pStyle w:val="NoSpacing"/>
        <w:rPr>
          <w:rFonts w:ascii="Helvetica" w:hAnsi="Helvetica" w:cs="Helvetica"/>
        </w:rPr>
      </w:pPr>
      <w:r w:rsidRPr="00A12C3F">
        <w:rPr>
          <w:rFonts w:ascii="Helvetica" w:hAnsi="Helvetica" w:cs="Helvetica"/>
        </w:rPr>
        <w:t xml:space="preserve">It was agreed that the OPCC would consider the initial time taken to make a recording decision, and if recorded, consider </w:t>
      </w:r>
      <w:r w:rsidR="00C5265A" w:rsidRPr="00A12C3F">
        <w:rPr>
          <w:rFonts w:ascii="Helvetica" w:hAnsi="Helvetica" w:cs="Helvetica"/>
        </w:rPr>
        <w:t xml:space="preserve">the updates provided to </w:t>
      </w:r>
      <w:r w:rsidR="007E063C" w:rsidRPr="00A12C3F">
        <w:rPr>
          <w:rFonts w:ascii="Helvetica" w:hAnsi="Helvetica" w:cs="Helvetica"/>
        </w:rPr>
        <w:t xml:space="preserve">the complainant </w:t>
      </w:r>
      <w:r w:rsidR="00D02A1E">
        <w:rPr>
          <w:rFonts w:ascii="Helvetica" w:hAnsi="Helvetica" w:cs="Helvetica"/>
        </w:rPr>
        <w:t xml:space="preserve">(when required) from initial recording </w:t>
      </w:r>
      <w:r w:rsidR="007E063C" w:rsidRPr="00A12C3F">
        <w:rPr>
          <w:rFonts w:ascii="Helvetica" w:hAnsi="Helvetica" w:cs="Helvetica"/>
        </w:rPr>
        <w:t xml:space="preserve">through </w:t>
      </w:r>
      <w:r w:rsidR="00C5265A" w:rsidRPr="00A12C3F">
        <w:rPr>
          <w:rFonts w:ascii="Helvetica" w:hAnsi="Helvetica" w:cs="Helvetica"/>
        </w:rPr>
        <w:t>to completion.</w:t>
      </w:r>
    </w:p>
    <w:p w14:paraId="79CD915C" w14:textId="6CE329E1" w:rsidR="00C5265A" w:rsidRPr="00A12C3F" w:rsidRDefault="002F52A0" w:rsidP="00C5265A">
      <w:pPr>
        <w:pStyle w:val="Heading2"/>
        <w:spacing w:after="240"/>
        <w:ind w:firstLine="720"/>
        <w:rPr>
          <w:rFonts w:ascii="Helvetica" w:hAnsi="Helvetica" w:cs="Helvetica"/>
        </w:rPr>
      </w:pPr>
      <w:r w:rsidRPr="00A12C3F">
        <w:rPr>
          <w:rFonts w:ascii="Helvetica" w:hAnsi="Helvetica" w:cs="Helvetica"/>
        </w:rPr>
        <w:t>3.1 Scrutiny Findings</w:t>
      </w:r>
    </w:p>
    <w:p w14:paraId="1C243700" w14:textId="0A926076" w:rsidR="002F52A0" w:rsidRPr="00A12C3F" w:rsidRDefault="002F52A0" w:rsidP="00C5265A">
      <w:pPr>
        <w:pStyle w:val="NoSpacing"/>
        <w:ind w:left="720"/>
        <w:rPr>
          <w:rFonts w:ascii="Helvetica" w:hAnsi="Helvetica" w:cs="Helvetica"/>
          <w:u w:val="single"/>
        </w:rPr>
      </w:pPr>
      <w:r w:rsidRPr="00A12C3F">
        <w:rPr>
          <w:rFonts w:ascii="Helvetica" w:hAnsi="Helvetica" w:cs="Helvetica"/>
          <w:u w:val="single"/>
        </w:rPr>
        <w:t>Recording Decision</w:t>
      </w:r>
    </w:p>
    <w:p w14:paraId="2C8B50BB" w14:textId="5CD2C3CC" w:rsidR="002F52A0" w:rsidRPr="00A12C3F" w:rsidRDefault="002F52A0" w:rsidP="00BB4CE3">
      <w:pPr>
        <w:pStyle w:val="NoSpacing"/>
        <w:rPr>
          <w:rFonts w:ascii="Helvetica" w:hAnsi="Helvetica" w:cs="Helvetica"/>
        </w:rPr>
      </w:pPr>
    </w:p>
    <w:p w14:paraId="24C4367A" w14:textId="66169304" w:rsidR="00BB4CE3" w:rsidRPr="00A12C3F" w:rsidRDefault="00BB4CE3" w:rsidP="00A12C3F">
      <w:pPr>
        <w:pStyle w:val="NoSpacing"/>
        <w:ind w:left="720"/>
        <w:rPr>
          <w:rFonts w:ascii="Helvetica" w:hAnsi="Helvetica" w:cs="Helvetica"/>
        </w:rPr>
      </w:pPr>
      <w:r w:rsidRPr="00A12C3F">
        <w:rPr>
          <w:rFonts w:ascii="Helvetica" w:hAnsi="Helvetica" w:cs="Helvetica"/>
        </w:rPr>
        <w:t>In terms of recording</w:t>
      </w:r>
      <w:r w:rsidR="005B33A6">
        <w:rPr>
          <w:rFonts w:ascii="Helvetica" w:hAnsi="Helvetica" w:cs="Helvetica"/>
        </w:rPr>
        <w:t>,</w:t>
      </w:r>
      <w:r w:rsidRPr="00A12C3F">
        <w:rPr>
          <w:rFonts w:ascii="Helvetica" w:hAnsi="Helvetica" w:cs="Helvetica"/>
        </w:rPr>
        <w:t xml:space="preserve"> the </w:t>
      </w:r>
      <w:r w:rsidR="005B33A6">
        <w:rPr>
          <w:rFonts w:ascii="Helvetica" w:hAnsi="Helvetica" w:cs="Helvetica"/>
        </w:rPr>
        <w:t>Independent Police Complaints Commission (</w:t>
      </w:r>
      <w:r w:rsidRPr="00A12C3F">
        <w:rPr>
          <w:rFonts w:ascii="Helvetica" w:hAnsi="Helvetica" w:cs="Helvetica"/>
        </w:rPr>
        <w:t>IPCC</w:t>
      </w:r>
      <w:r w:rsidR="005B33A6">
        <w:rPr>
          <w:rFonts w:ascii="Helvetica" w:hAnsi="Helvetica" w:cs="Helvetica"/>
        </w:rPr>
        <w:t>)</w:t>
      </w:r>
      <w:r w:rsidRPr="00A12C3F">
        <w:rPr>
          <w:rFonts w:ascii="Helvetica" w:hAnsi="Helvetica" w:cs="Helvetica"/>
        </w:rPr>
        <w:t xml:space="preserve"> Guidance (adopted by the</w:t>
      </w:r>
      <w:r w:rsidR="00A12C3F" w:rsidRPr="00A12C3F">
        <w:rPr>
          <w:rFonts w:ascii="Helvetica" w:hAnsi="Helvetica" w:cs="Helvetica"/>
        </w:rPr>
        <w:t xml:space="preserve"> Independent Office for Police Conduct (</w:t>
      </w:r>
      <w:r w:rsidRPr="00A12C3F">
        <w:rPr>
          <w:rFonts w:ascii="Helvetica" w:hAnsi="Helvetica" w:cs="Helvetica"/>
        </w:rPr>
        <w:t>IOPC)</w:t>
      </w:r>
      <w:r w:rsidR="005B33A6">
        <w:rPr>
          <w:rFonts w:ascii="Helvetica" w:hAnsi="Helvetica" w:cs="Helvetica"/>
        </w:rPr>
        <w:t>)</w:t>
      </w:r>
      <w:r w:rsidRPr="00A12C3F">
        <w:rPr>
          <w:rFonts w:ascii="Helvetica" w:hAnsi="Helvetica" w:cs="Helvetica"/>
        </w:rPr>
        <w:t xml:space="preserve"> states:</w:t>
      </w:r>
    </w:p>
    <w:p w14:paraId="6D9724F1" w14:textId="77777777" w:rsidR="00BB4CE3" w:rsidRPr="00A12C3F" w:rsidRDefault="00BB4CE3" w:rsidP="00BB4CE3">
      <w:pPr>
        <w:pStyle w:val="NoSpacing"/>
        <w:ind w:firstLine="720"/>
        <w:rPr>
          <w:rFonts w:ascii="Helvetica" w:hAnsi="Helvetica" w:cs="Helvetica"/>
        </w:rPr>
      </w:pPr>
    </w:p>
    <w:p w14:paraId="11B1967F" w14:textId="59077CFB" w:rsidR="00C5265A" w:rsidRPr="00A12C3F" w:rsidRDefault="00BB4CE3" w:rsidP="00BB4CE3">
      <w:pPr>
        <w:pStyle w:val="NoSpacing"/>
        <w:ind w:left="720"/>
        <w:rPr>
          <w:rFonts w:ascii="Helvetica" w:hAnsi="Helvetica" w:cs="Helvetica"/>
          <w:i/>
          <w:iCs/>
        </w:rPr>
      </w:pPr>
      <w:r w:rsidRPr="00A12C3F">
        <w:rPr>
          <w:rFonts w:ascii="Helvetica" w:hAnsi="Helvetica" w:cs="Helvetica"/>
          <w:b/>
          <w:bCs/>
          <w:i/>
          <w:iCs/>
        </w:rPr>
        <w:t>“3.21</w:t>
      </w:r>
      <w:r w:rsidRPr="00A12C3F">
        <w:rPr>
          <w:rFonts w:ascii="Helvetica" w:hAnsi="Helvetica" w:cs="Helvetica"/>
          <w:i/>
          <w:iCs/>
        </w:rPr>
        <w:t xml:space="preserve"> The IPCC expects a recording decision to be made within ten working days of receipt of a complaint or notification, but ideally it should happen as soon as possible after the complaint is received.”</w:t>
      </w:r>
    </w:p>
    <w:p w14:paraId="6F0200C8" w14:textId="77777777" w:rsidR="00BB4CE3" w:rsidRPr="00A12C3F" w:rsidRDefault="00BB4CE3" w:rsidP="00BB4CE3">
      <w:pPr>
        <w:pStyle w:val="NoSpacing"/>
        <w:ind w:left="720"/>
        <w:rPr>
          <w:rFonts w:ascii="Helvetica" w:hAnsi="Helvetica" w:cs="Helvetica"/>
          <w:i/>
          <w:iCs/>
        </w:rPr>
      </w:pPr>
    </w:p>
    <w:p w14:paraId="22206B76" w14:textId="158F05CC" w:rsidR="002F52A0" w:rsidRPr="00A12C3F" w:rsidRDefault="00032248" w:rsidP="00C5265A">
      <w:pPr>
        <w:pStyle w:val="NoSpacing"/>
        <w:numPr>
          <w:ilvl w:val="0"/>
          <w:numId w:val="17"/>
        </w:numPr>
        <w:rPr>
          <w:rFonts w:ascii="Helvetica" w:hAnsi="Helvetica" w:cs="Helvetica"/>
        </w:rPr>
      </w:pPr>
      <w:r w:rsidRPr="00A12C3F">
        <w:rPr>
          <w:rFonts w:ascii="Helvetica" w:hAnsi="Helvetica" w:cs="Helvetica"/>
        </w:rPr>
        <w:t xml:space="preserve">A </w:t>
      </w:r>
      <w:r w:rsidR="00A7575E" w:rsidRPr="00A12C3F">
        <w:rPr>
          <w:rFonts w:ascii="Helvetica" w:hAnsi="Helvetica" w:cs="Helvetica"/>
        </w:rPr>
        <w:t>recording decision was m</w:t>
      </w:r>
      <w:r w:rsidR="00C349B4">
        <w:rPr>
          <w:rFonts w:ascii="Helvetica" w:hAnsi="Helvetica" w:cs="Helvetica"/>
        </w:rPr>
        <w:t>ade within 10 working days for all 8</w:t>
      </w:r>
      <w:r w:rsidR="00A7575E" w:rsidRPr="00A12C3F">
        <w:rPr>
          <w:rFonts w:ascii="Helvetica" w:hAnsi="Helvetica" w:cs="Helvetica"/>
        </w:rPr>
        <w:t xml:space="preserve"> cases. This demonstrates that PSD </w:t>
      </w:r>
      <w:r w:rsidR="007933B1" w:rsidRPr="00A12C3F">
        <w:rPr>
          <w:rFonts w:ascii="Helvetica" w:hAnsi="Helvetica" w:cs="Helvetica"/>
        </w:rPr>
        <w:t xml:space="preserve">are cognisant of the </w:t>
      </w:r>
      <w:r w:rsidR="005B33A6">
        <w:rPr>
          <w:rFonts w:ascii="Helvetica" w:hAnsi="Helvetica" w:cs="Helvetica"/>
        </w:rPr>
        <w:t xml:space="preserve">above guidance </w:t>
      </w:r>
      <w:r w:rsidR="007933B1" w:rsidRPr="00A12C3F">
        <w:rPr>
          <w:rFonts w:ascii="Helvetica" w:hAnsi="Helvetica" w:cs="Helvetica"/>
        </w:rPr>
        <w:t xml:space="preserve">and strive to </w:t>
      </w:r>
      <w:r w:rsidR="002656E3" w:rsidRPr="00A12C3F">
        <w:rPr>
          <w:rFonts w:ascii="Helvetica" w:hAnsi="Helvetica" w:cs="Helvetica"/>
        </w:rPr>
        <w:t>work to the timescale</w:t>
      </w:r>
      <w:r w:rsidR="005B33A6">
        <w:rPr>
          <w:rFonts w:ascii="Helvetica" w:hAnsi="Helvetica" w:cs="Helvetica"/>
        </w:rPr>
        <w:t xml:space="preserve">s outlined. PSD </w:t>
      </w:r>
      <w:r w:rsidR="002656E3" w:rsidRPr="00A12C3F">
        <w:rPr>
          <w:rFonts w:ascii="Helvetica" w:hAnsi="Helvetica" w:cs="Helvetica"/>
        </w:rPr>
        <w:t>a</w:t>
      </w:r>
      <w:r w:rsidR="00C349B4">
        <w:rPr>
          <w:rFonts w:ascii="Helvetica" w:hAnsi="Helvetica" w:cs="Helvetica"/>
        </w:rPr>
        <w:t>re compliant in 100</w:t>
      </w:r>
      <w:r w:rsidR="002656E3" w:rsidRPr="00A12C3F">
        <w:rPr>
          <w:rFonts w:ascii="Helvetica" w:hAnsi="Helvetica" w:cs="Helvetica"/>
        </w:rPr>
        <w:t>% of the cases reviewed by the OPCC.</w:t>
      </w:r>
    </w:p>
    <w:p w14:paraId="4C005919" w14:textId="77777777" w:rsidR="00F62709" w:rsidRPr="00A12C3F" w:rsidRDefault="00F62709" w:rsidP="00F62709">
      <w:pPr>
        <w:pStyle w:val="NoSpacing"/>
        <w:ind w:left="1080"/>
        <w:rPr>
          <w:rFonts w:ascii="Helvetica" w:hAnsi="Helvetica" w:cs="Helvetica"/>
        </w:rPr>
      </w:pPr>
    </w:p>
    <w:p w14:paraId="0E5C3719" w14:textId="34F18A0E" w:rsidR="00032248" w:rsidRPr="00A12C3F" w:rsidRDefault="00032248" w:rsidP="00D156B8">
      <w:pPr>
        <w:pStyle w:val="NoSpacing"/>
        <w:numPr>
          <w:ilvl w:val="0"/>
          <w:numId w:val="17"/>
        </w:numPr>
        <w:rPr>
          <w:rFonts w:ascii="Helvetica" w:hAnsi="Helvetica" w:cs="Helvetica"/>
        </w:rPr>
      </w:pPr>
      <w:r w:rsidRPr="00A12C3F">
        <w:rPr>
          <w:rFonts w:ascii="Helvetica" w:hAnsi="Helvetica" w:cs="Helvetica"/>
        </w:rPr>
        <w:t xml:space="preserve">Two </w:t>
      </w:r>
      <w:r w:rsidR="00F62709" w:rsidRPr="00A12C3F">
        <w:rPr>
          <w:rFonts w:ascii="Helvetica" w:hAnsi="Helvetica" w:cs="Helvetica"/>
        </w:rPr>
        <w:t xml:space="preserve">cases were identified to have been initially reported to Dyfed Powys Police through a channel other than PSD. In one case, the complainant directed their complaint addressed to the Chief Constable to the Force Communications Centre (FCC). The FCC forwarded this complaint </w:t>
      </w:r>
      <w:r w:rsidR="005B33A6">
        <w:rPr>
          <w:rFonts w:ascii="Helvetica" w:hAnsi="Helvetica" w:cs="Helvetica"/>
        </w:rPr>
        <w:t xml:space="preserve">on the same working day </w:t>
      </w:r>
      <w:r w:rsidR="00F62709" w:rsidRPr="00A12C3F">
        <w:rPr>
          <w:rFonts w:ascii="Helvetica" w:hAnsi="Helvetica" w:cs="Helvetica"/>
        </w:rPr>
        <w:t>to both PSD and the Chief Constables’ Office for action. The second case was sent directly to the Chief Constables’ Office, this complaint was forwarded onto PSD 24 working days after initial receipt.</w:t>
      </w:r>
    </w:p>
    <w:p w14:paraId="018EDD55" w14:textId="03C13319" w:rsidR="002F52A0" w:rsidRPr="00A12C3F" w:rsidRDefault="002F52A0" w:rsidP="002F52A0">
      <w:pPr>
        <w:pStyle w:val="NoSpacing"/>
        <w:rPr>
          <w:rFonts w:ascii="Helvetica" w:hAnsi="Helvetica" w:cs="Helvetica"/>
        </w:rPr>
      </w:pPr>
    </w:p>
    <w:p w14:paraId="5199F474" w14:textId="77777777" w:rsidR="002F52A0" w:rsidRPr="00A12C3F" w:rsidRDefault="002F52A0" w:rsidP="002F52A0">
      <w:pPr>
        <w:pStyle w:val="NoSpacing"/>
        <w:ind w:left="720"/>
        <w:rPr>
          <w:rFonts w:ascii="Helvetica" w:hAnsi="Helvetica" w:cs="Helvetica"/>
          <w:u w:val="single"/>
        </w:rPr>
      </w:pPr>
      <w:r w:rsidRPr="00A12C3F">
        <w:rPr>
          <w:rFonts w:ascii="Helvetica" w:hAnsi="Helvetica" w:cs="Helvetica"/>
          <w:u w:val="single"/>
        </w:rPr>
        <w:t>Complaint Progress Updates</w:t>
      </w:r>
    </w:p>
    <w:p w14:paraId="5FAB04C4" w14:textId="77777777" w:rsidR="002F52A0" w:rsidRPr="00A12C3F" w:rsidRDefault="002F52A0" w:rsidP="00BB4CE3">
      <w:pPr>
        <w:pStyle w:val="NoSpacing"/>
        <w:rPr>
          <w:rFonts w:ascii="Helvetica" w:hAnsi="Helvetica" w:cs="Helvetica"/>
        </w:rPr>
      </w:pPr>
    </w:p>
    <w:p w14:paraId="59F1A65F" w14:textId="3CA0ED6D" w:rsidR="00BB4CE3" w:rsidRPr="00A12C3F" w:rsidRDefault="00BB4CE3" w:rsidP="00BB4CE3">
      <w:pPr>
        <w:pStyle w:val="NoSpacing"/>
        <w:ind w:left="720"/>
        <w:rPr>
          <w:rFonts w:ascii="Helvetica" w:hAnsi="Helvetica" w:cs="Helvetica"/>
        </w:rPr>
      </w:pPr>
      <w:r w:rsidRPr="00A12C3F">
        <w:rPr>
          <w:rFonts w:ascii="Helvetica" w:hAnsi="Helvetica" w:cs="Helvetica"/>
        </w:rPr>
        <w:t>In terms of updates, Regulation 12 of the Police (Complaints and Misconduct) Regulations 2012 state:</w:t>
      </w:r>
    </w:p>
    <w:p w14:paraId="268881CD" w14:textId="77777777" w:rsidR="00BB4CE3" w:rsidRPr="00A12C3F" w:rsidRDefault="00BB4CE3" w:rsidP="00BB4CE3">
      <w:pPr>
        <w:pStyle w:val="NoSpacing"/>
        <w:rPr>
          <w:rFonts w:ascii="Helvetica" w:hAnsi="Helvetica" w:cs="Helvetica"/>
        </w:rPr>
      </w:pPr>
    </w:p>
    <w:p w14:paraId="4B391230" w14:textId="461ECC84" w:rsidR="00BB4CE3" w:rsidRPr="00A12C3F" w:rsidRDefault="00BB4CE3" w:rsidP="00BB4CE3">
      <w:pPr>
        <w:pStyle w:val="NoSpacing"/>
        <w:ind w:left="720"/>
        <w:rPr>
          <w:rFonts w:ascii="Helvetica" w:hAnsi="Helvetica" w:cs="Helvetica"/>
          <w:i/>
          <w:iCs/>
        </w:rPr>
      </w:pPr>
      <w:r w:rsidRPr="00A12C3F">
        <w:rPr>
          <w:rFonts w:ascii="Helvetica" w:hAnsi="Helvetica" w:cs="Helvetica"/>
          <w:i/>
          <w:iCs/>
        </w:rPr>
        <w:t>“The first update must be provided promptly and within 28 calendar days of the start of the investigation. Subsequent updates must be provided at least every 28 calendar days after that.”</w:t>
      </w:r>
      <w:r w:rsidRPr="00A12C3F">
        <w:rPr>
          <w:rFonts w:ascii="Helvetica" w:hAnsi="Helvetica" w:cs="Helvetica"/>
        </w:rPr>
        <w:t xml:space="preserve"> </w:t>
      </w:r>
    </w:p>
    <w:p w14:paraId="143FF1FB" w14:textId="77777777" w:rsidR="002F52A0" w:rsidRPr="00A12C3F" w:rsidRDefault="002F52A0" w:rsidP="00BB4CE3">
      <w:pPr>
        <w:pStyle w:val="NoSpacing"/>
        <w:rPr>
          <w:rFonts w:ascii="Helvetica" w:hAnsi="Helvetica" w:cs="Helvetica"/>
        </w:rPr>
      </w:pPr>
    </w:p>
    <w:p w14:paraId="2EF3C84D" w14:textId="787CED91" w:rsidR="00B219F3" w:rsidRDefault="00E11D8A" w:rsidP="00B219F3">
      <w:pPr>
        <w:pStyle w:val="NoSpacing"/>
        <w:numPr>
          <w:ilvl w:val="0"/>
          <w:numId w:val="17"/>
        </w:numPr>
        <w:rPr>
          <w:rFonts w:ascii="Helvetica" w:hAnsi="Helvetica" w:cs="Helvetica"/>
        </w:rPr>
      </w:pPr>
      <w:r w:rsidRPr="00A12C3F">
        <w:rPr>
          <w:rFonts w:ascii="Helvetica" w:hAnsi="Helvetica" w:cs="Helvetica"/>
        </w:rPr>
        <w:t>A total of</w:t>
      </w:r>
      <w:r w:rsidR="00617BAF" w:rsidRPr="00A12C3F">
        <w:rPr>
          <w:rFonts w:ascii="Helvetica" w:hAnsi="Helvetica" w:cs="Helvetica"/>
        </w:rPr>
        <w:t xml:space="preserve"> </w:t>
      </w:r>
      <w:r w:rsidR="00B219F3">
        <w:rPr>
          <w:rFonts w:ascii="Helvetica" w:hAnsi="Helvetica" w:cs="Helvetica"/>
        </w:rPr>
        <w:t>three</w:t>
      </w:r>
      <w:r w:rsidR="00D156B8" w:rsidRPr="00A12C3F">
        <w:rPr>
          <w:rFonts w:ascii="Helvetica" w:hAnsi="Helvetica" w:cs="Helvetica"/>
        </w:rPr>
        <w:t xml:space="preserve"> </w:t>
      </w:r>
      <w:r w:rsidR="00617BAF" w:rsidRPr="00A12C3F">
        <w:rPr>
          <w:rFonts w:ascii="Helvetica" w:hAnsi="Helvetica" w:cs="Helvetica"/>
        </w:rPr>
        <w:t xml:space="preserve">complaint </w:t>
      </w:r>
      <w:r w:rsidR="00D156B8" w:rsidRPr="00A12C3F">
        <w:rPr>
          <w:rFonts w:ascii="Helvetica" w:hAnsi="Helvetica" w:cs="Helvetica"/>
        </w:rPr>
        <w:t>cases</w:t>
      </w:r>
      <w:r w:rsidR="00617BAF" w:rsidRPr="00A12C3F">
        <w:rPr>
          <w:rFonts w:ascii="Helvetica" w:hAnsi="Helvetica" w:cs="Helvetica"/>
        </w:rPr>
        <w:t xml:space="preserve"> (</w:t>
      </w:r>
      <w:r w:rsidR="00B219F3">
        <w:rPr>
          <w:rFonts w:ascii="Helvetica" w:hAnsi="Helvetica" w:cs="Helvetica"/>
        </w:rPr>
        <w:t>37.5</w:t>
      </w:r>
      <w:r w:rsidR="00617BAF" w:rsidRPr="00A12C3F">
        <w:rPr>
          <w:rFonts w:ascii="Helvetica" w:hAnsi="Helvetica" w:cs="Helvetica"/>
        </w:rPr>
        <w:t xml:space="preserve">% of </w:t>
      </w:r>
      <w:r w:rsidR="007E2622" w:rsidRPr="00A12C3F">
        <w:rPr>
          <w:rFonts w:ascii="Helvetica" w:hAnsi="Helvetica" w:cs="Helvetica"/>
        </w:rPr>
        <w:t>total cases</w:t>
      </w:r>
      <w:r w:rsidR="00617BAF" w:rsidRPr="00A12C3F">
        <w:rPr>
          <w:rFonts w:ascii="Helvetica" w:hAnsi="Helvetica" w:cs="Helvetica"/>
        </w:rPr>
        <w:t xml:space="preserve"> reviewed) </w:t>
      </w:r>
      <w:r w:rsidRPr="00A12C3F">
        <w:rPr>
          <w:rFonts w:ascii="Helvetica" w:hAnsi="Helvetica" w:cs="Helvetica"/>
        </w:rPr>
        <w:t xml:space="preserve">resulted in the provision of </w:t>
      </w:r>
      <w:r w:rsidR="00617BAF" w:rsidRPr="00A12C3F">
        <w:rPr>
          <w:rFonts w:ascii="Helvetica" w:hAnsi="Helvetica" w:cs="Helvetica"/>
        </w:rPr>
        <w:t xml:space="preserve">a final response </w:t>
      </w:r>
      <w:r w:rsidRPr="00A12C3F">
        <w:rPr>
          <w:rFonts w:ascii="Helvetica" w:hAnsi="Helvetica" w:cs="Helvetica"/>
        </w:rPr>
        <w:t>t</w:t>
      </w:r>
      <w:r w:rsidR="00617BAF" w:rsidRPr="00A12C3F">
        <w:rPr>
          <w:rFonts w:ascii="Helvetica" w:hAnsi="Helvetica" w:cs="Helvetica"/>
        </w:rPr>
        <w:t>o the complainant within 28 days of the initial recording decision, negating a requirement for complainant updates.</w:t>
      </w:r>
    </w:p>
    <w:p w14:paraId="6BB2D11A" w14:textId="77777777" w:rsidR="00B219F3" w:rsidRDefault="00B219F3" w:rsidP="00B219F3">
      <w:pPr>
        <w:pStyle w:val="NoSpacing"/>
        <w:ind w:left="1080"/>
        <w:rPr>
          <w:rFonts w:ascii="Helvetica" w:hAnsi="Helvetica" w:cs="Helvetica"/>
        </w:rPr>
      </w:pPr>
    </w:p>
    <w:p w14:paraId="1E3CF5E3" w14:textId="74696C77" w:rsidR="00B219F3" w:rsidRPr="00B219F3" w:rsidRDefault="00B219F3" w:rsidP="00B219F3">
      <w:pPr>
        <w:pStyle w:val="NoSpacing"/>
        <w:numPr>
          <w:ilvl w:val="0"/>
          <w:numId w:val="17"/>
        </w:numPr>
        <w:rPr>
          <w:rFonts w:ascii="Helvetica" w:hAnsi="Helvetica" w:cs="Helvetica"/>
        </w:rPr>
      </w:pPr>
      <w:r>
        <w:rPr>
          <w:rFonts w:ascii="Helvetica" w:hAnsi="Helvetica" w:cs="Helvetica"/>
        </w:rPr>
        <w:t>One case (12.5% of total cases reviewed) resulted in an update provision to the complainant after 24 days and then the final response was provided within 15 days of the first update.</w:t>
      </w:r>
    </w:p>
    <w:p w14:paraId="7CCB5D82" w14:textId="77777777" w:rsidR="00617BAF" w:rsidRPr="00A12C3F" w:rsidRDefault="00617BAF" w:rsidP="00617BAF">
      <w:pPr>
        <w:pStyle w:val="NoSpacing"/>
        <w:ind w:left="1080"/>
        <w:rPr>
          <w:rFonts w:ascii="Helvetica" w:hAnsi="Helvetica" w:cs="Helvetica"/>
        </w:rPr>
      </w:pPr>
    </w:p>
    <w:p w14:paraId="5376D351" w14:textId="3A83A5FA" w:rsidR="004411A5" w:rsidRPr="00A12C3F" w:rsidRDefault="00687395" w:rsidP="001F4E4E">
      <w:pPr>
        <w:pStyle w:val="NoSpacing"/>
        <w:numPr>
          <w:ilvl w:val="0"/>
          <w:numId w:val="17"/>
        </w:numPr>
        <w:rPr>
          <w:rFonts w:ascii="Helvetica" w:hAnsi="Helvetica" w:cs="Helvetica"/>
        </w:rPr>
      </w:pPr>
      <w:r w:rsidRPr="00A12C3F">
        <w:rPr>
          <w:rFonts w:ascii="Helvetica" w:hAnsi="Helvetica" w:cs="Helvetica"/>
        </w:rPr>
        <w:t xml:space="preserve">PSD provided a final response within 30 days of the initial recording decision (Case 1: 29 days and Case 2: 30 days) for </w:t>
      </w:r>
      <w:r w:rsidR="001C6C8D" w:rsidRPr="00A12C3F">
        <w:rPr>
          <w:rFonts w:ascii="Helvetica" w:hAnsi="Helvetica" w:cs="Helvetica"/>
        </w:rPr>
        <w:t>t</w:t>
      </w:r>
      <w:r w:rsidR="007E2622" w:rsidRPr="00A12C3F">
        <w:rPr>
          <w:rFonts w:ascii="Helvetica" w:hAnsi="Helvetica" w:cs="Helvetica"/>
        </w:rPr>
        <w:t>wo complaint cases (25% of total cases reviewed</w:t>
      </w:r>
      <w:r w:rsidR="001C6C8D" w:rsidRPr="00A12C3F">
        <w:rPr>
          <w:rFonts w:ascii="Helvetica" w:hAnsi="Helvetica" w:cs="Helvetica"/>
        </w:rPr>
        <w:t>) and did not provide a</w:t>
      </w:r>
      <w:r w:rsidR="004411A5" w:rsidRPr="00A12C3F">
        <w:rPr>
          <w:rFonts w:ascii="Helvetica" w:hAnsi="Helvetica" w:cs="Helvetica"/>
        </w:rPr>
        <w:t>ny complainant updates</w:t>
      </w:r>
      <w:r w:rsidR="00E11D8A" w:rsidRPr="00A12C3F">
        <w:rPr>
          <w:rFonts w:ascii="Helvetica" w:hAnsi="Helvetica" w:cs="Helvetica"/>
        </w:rPr>
        <w:t>.</w:t>
      </w:r>
    </w:p>
    <w:p w14:paraId="594521B7" w14:textId="77777777" w:rsidR="004411A5" w:rsidRPr="00A12C3F" w:rsidRDefault="004411A5" w:rsidP="004411A5">
      <w:pPr>
        <w:pStyle w:val="NoSpacing"/>
        <w:ind w:left="1080"/>
        <w:rPr>
          <w:rFonts w:ascii="Helvetica" w:hAnsi="Helvetica" w:cs="Helvetica"/>
        </w:rPr>
      </w:pPr>
    </w:p>
    <w:p w14:paraId="5E4915EA" w14:textId="16079E04" w:rsidR="00566557" w:rsidRPr="00A12C3F" w:rsidRDefault="00633502" w:rsidP="00566557">
      <w:pPr>
        <w:pStyle w:val="NoSpacing"/>
        <w:numPr>
          <w:ilvl w:val="0"/>
          <w:numId w:val="17"/>
        </w:numPr>
        <w:rPr>
          <w:rFonts w:ascii="Helvetica" w:hAnsi="Helvetica" w:cs="Helvetica"/>
        </w:rPr>
      </w:pPr>
      <w:r w:rsidRPr="00A12C3F">
        <w:rPr>
          <w:rFonts w:ascii="Helvetica" w:hAnsi="Helvetica" w:cs="Helvetica"/>
        </w:rPr>
        <w:t>In o</w:t>
      </w:r>
      <w:r w:rsidR="00B93898" w:rsidRPr="00A12C3F">
        <w:rPr>
          <w:rFonts w:ascii="Helvetica" w:hAnsi="Helvetica" w:cs="Helvetica"/>
        </w:rPr>
        <w:t>ne case (12.5% of total cases reviewed)</w:t>
      </w:r>
      <w:r w:rsidRPr="00A12C3F">
        <w:rPr>
          <w:rFonts w:ascii="Helvetica" w:hAnsi="Helvetica" w:cs="Helvetica"/>
        </w:rPr>
        <w:t xml:space="preserve">, a meeting was arranged between a Dyfed Powys Police </w:t>
      </w:r>
      <w:r w:rsidR="005B33A6">
        <w:rPr>
          <w:rFonts w:ascii="Helvetica" w:hAnsi="Helvetica" w:cs="Helvetica"/>
        </w:rPr>
        <w:t>officer</w:t>
      </w:r>
      <w:r w:rsidRPr="00A12C3F">
        <w:rPr>
          <w:rFonts w:ascii="Helvetica" w:hAnsi="Helvetica" w:cs="Helvetica"/>
        </w:rPr>
        <w:t xml:space="preserve"> and the complainant which </w:t>
      </w:r>
      <w:r w:rsidR="00566557" w:rsidRPr="00A12C3F">
        <w:rPr>
          <w:rFonts w:ascii="Helvetica" w:hAnsi="Helvetica" w:cs="Helvetica"/>
        </w:rPr>
        <w:t xml:space="preserve">took place 59 </w:t>
      </w:r>
      <w:r w:rsidRPr="00A12C3F">
        <w:rPr>
          <w:rFonts w:ascii="Helvetica" w:hAnsi="Helvetica" w:cs="Helvetica"/>
        </w:rPr>
        <w:t>days after the initial recording decision</w:t>
      </w:r>
      <w:r w:rsidR="004411A5" w:rsidRPr="00A12C3F">
        <w:rPr>
          <w:rFonts w:ascii="Helvetica" w:hAnsi="Helvetica" w:cs="Helvetica"/>
        </w:rPr>
        <w:t>.</w:t>
      </w:r>
      <w:r w:rsidRPr="00A12C3F">
        <w:rPr>
          <w:rFonts w:ascii="Helvetica" w:hAnsi="Helvetica" w:cs="Helvetica"/>
        </w:rPr>
        <w:t xml:space="preserve"> During that meeting, the complainant </w:t>
      </w:r>
      <w:r w:rsidR="00566557" w:rsidRPr="00A12C3F">
        <w:rPr>
          <w:rFonts w:ascii="Helvetica" w:hAnsi="Helvetica" w:cs="Helvetica"/>
        </w:rPr>
        <w:t>made</w:t>
      </w:r>
      <w:r w:rsidRPr="00A12C3F">
        <w:rPr>
          <w:rFonts w:ascii="Helvetica" w:hAnsi="Helvetica" w:cs="Helvetica"/>
        </w:rPr>
        <w:t xml:space="preserve"> the decision to withdraw their complaint and written confirmation of this outcome was provided </w:t>
      </w:r>
      <w:r w:rsidR="00720011" w:rsidRPr="00A12C3F">
        <w:rPr>
          <w:rFonts w:ascii="Helvetica" w:hAnsi="Helvetica" w:cs="Helvetica"/>
        </w:rPr>
        <w:t xml:space="preserve">by PSD </w:t>
      </w:r>
      <w:r w:rsidRPr="00A12C3F">
        <w:rPr>
          <w:rFonts w:ascii="Helvetica" w:hAnsi="Helvetica" w:cs="Helvetica"/>
        </w:rPr>
        <w:t xml:space="preserve">to the complainant </w:t>
      </w:r>
      <w:r w:rsidR="00566557" w:rsidRPr="00A12C3F">
        <w:rPr>
          <w:rFonts w:ascii="Helvetica" w:hAnsi="Helvetica" w:cs="Helvetica"/>
        </w:rPr>
        <w:t>13</w:t>
      </w:r>
      <w:r w:rsidR="00233461" w:rsidRPr="00A12C3F">
        <w:rPr>
          <w:rFonts w:ascii="Helvetica" w:hAnsi="Helvetica" w:cs="Helvetica"/>
        </w:rPr>
        <w:t xml:space="preserve"> days after </w:t>
      </w:r>
      <w:r w:rsidR="00566557" w:rsidRPr="00A12C3F">
        <w:rPr>
          <w:rFonts w:ascii="Helvetica" w:hAnsi="Helvetica" w:cs="Helvetica"/>
        </w:rPr>
        <w:t>the meeting</w:t>
      </w:r>
      <w:r w:rsidR="00720011" w:rsidRPr="00A12C3F">
        <w:rPr>
          <w:rFonts w:ascii="Helvetica" w:hAnsi="Helvetica" w:cs="Helvetica"/>
        </w:rPr>
        <w:t>.</w:t>
      </w:r>
      <w:r w:rsidR="00566557" w:rsidRPr="00A12C3F">
        <w:rPr>
          <w:rFonts w:ascii="Helvetica" w:hAnsi="Helvetica" w:cs="Helvetica"/>
        </w:rPr>
        <w:t xml:space="preserve"> No complainant updates were provided throughout this complaint process.</w:t>
      </w:r>
      <w:r w:rsidR="00566557" w:rsidRPr="00A12C3F">
        <w:rPr>
          <w:rFonts w:ascii="Helvetica" w:hAnsi="Helvetica" w:cs="Helvetica"/>
        </w:rPr>
        <w:br/>
      </w:r>
    </w:p>
    <w:p w14:paraId="01CF28DF" w14:textId="0627DA5A" w:rsidR="008A6CC5" w:rsidRPr="00A12C3F" w:rsidRDefault="00566557" w:rsidP="008A6CC5">
      <w:pPr>
        <w:pStyle w:val="NoSpacing"/>
        <w:numPr>
          <w:ilvl w:val="0"/>
          <w:numId w:val="17"/>
        </w:numPr>
        <w:rPr>
          <w:rFonts w:ascii="Helvetica" w:hAnsi="Helvetica" w:cs="Helvetica"/>
        </w:rPr>
      </w:pPr>
      <w:r w:rsidRPr="00A12C3F">
        <w:rPr>
          <w:rFonts w:ascii="Helvetica" w:hAnsi="Helvetica" w:cs="Helvetica"/>
        </w:rPr>
        <w:t xml:space="preserve">For the remaining one case (12.5% of total cases reviewed), a total of six communications between PSD and the complainant were recorded between the initial recording decision and the provision of the final response to the complainant. Initial correspondence from PSD to the complainant was recorded </w:t>
      </w:r>
      <w:r w:rsidR="00272089" w:rsidRPr="00A12C3F">
        <w:rPr>
          <w:rFonts w:ascii="Helvetica" w:hAnsi="Helvetica" w:cs="Helvetica"/>
        </w:rPr>
        <w:lastRenderedPageBreak/>
        <w:t xml:space="preserve">at </w:t>
      </w:r>
      <w:r w:rsidRPr="00A12C3F">
        <w:rPr>
          <w:rFonts w:ascii="Helvetica" w:hAnsi="Helvetica" w:cs="Helvetica"/>
        </w:rPr>
        <w:t>6 days (1st communication) after</w:t>
      </w:r>
      <w:r w:rsidR="00272089" w:rsidRPr="00A12C3F">
        <w:rPr>
          <w:rFonts w:ascii="Helvetica" w:hAnsi="Helvetica" w:cs="Helvetica"/>
        </w:rPr>
        <w:t xml:space="preserve"> the initial recording decision. C</w:t>
      </w:r>
      <w:r w:rsidRPr="00A12C3F">
        <w:rPr>
          <w:rFonts w:ascii="Helvetica" w:hAnsi="Helvetica" w:cs="Helvetica"/>
        </w:rPr>
        <w:t>ommunication was</w:t>
      </w:r>
      <w:r w:rsidR="00272089" w:rsidRPr="00A12C3F">
        <w:rPr>
          <w:rFonts w:ascii="Helvetica" w:hAnsi="Helvetica" w:cs="Helvetica"/>
        </w:rPr>
        <w:t xml:space="preserve"> then</w:t>
      </w:r>
      <w:r w:rsidRPr="00A12C3F">
        <w:rPr>
          <w:rFonts w:ascii="Helvetica" w:hAnsi="Helvetica" w:cs="Helvetica"/>
        </w:rPr>
        <w:t xml:space="preserve"> recorded between the complainant and PSD 10 days after that (2nd communication); </w:t>
      </w:r>
      <w:r w:rsidR="00272089" w:rsidRPr="00A12C3F">
        <w:rPr>
          <w:rFonts w:ascii="Helvetica" w:hAnsi="Helvetica" w:cs="Helvetica"/>
        </w:rPr>
        <w:t>then</w:t>
      </w:r>
      <w:r w:rsidRPr="00A12C3F">
        <w:rPr>
          <w:rFonts w:ascii="Helvetica" w:hAnsi="Helvetica" w:cs="Helvetica"/>
        </w:rPr>
        <w:t xml:space="preserve"> </w:t>
      </w:r>
      <w:r w:rsidR="008A6CC5" w:rsidRPr="00A12C3F">
        <w:rPr>
          <w:rFonts w:ascii="Helvetica" w:hAnsi="Helvetica" w:cs="Helvetica"/>
        </w:rPr>
        <w:t>21 days after that (3rd communication), 6</w:t>
      </w:r>
      <w:r w:rsidRPr="00A12C3F">
        <w:rPr>
          <w:rFonts w:ascii="Helvetica" w:hAnsi="Helvetica" w:cs="Helvetica"/>
        </w:rPr>
        <w:t xml:space="preserve"> days</w:t>
      </w:r>
      <w:r w:rsidR="008A6CC5" w:rsidRPr="00A12C3F">
        <w:rPr>
          <w:rFonts w:ascii="Helvetica" w:hAnsi="Helvetica" w:cs="Helvetica"/>
        </w:rPr>
        <w:t xml:space="preserve"> after that</w:t>
      </w:r>
      <w:r w:rsidRPr="00A12C3F">
        <w:rPr>
          <w:rFonts w:ascii="Helvetica" w:hAnsi="Helvetica" w:cs="Helvetica"/>
        </w:rPr>
        <w:t xml:space="preserve"> (</w:t>
      </w:r>
      <w:r w:rsidR="008A6CC5" w:rsidRPr="00A12C3F">
        <w:rPr>
          <w:rFonts w:ascii="Helvetica" w:hAnsi="Helvetica" w:cs="Helvetica"/>
        </w:rPr>
        <w:t xml:space="preserve">4th </w:t>
      </w:r>
      <w:r w:rsidRPr="00A12C3F">
        <w:rPr>
          <w:rFonts w:ascii="Helvetica" w:hAnsi="Helvetica" w:cs="Helvetica"/>
        </w:rPr>
        <w:t>communication),</w:t>
      </w:r>
      <w:r w:rsidR="00272089" w:rsidRPr="00A12C3F">
        <w:rPr>
          <w:rFonts w:ascii="Helvetica" w:hAnsi="Helvetica" w:cs="Helvetica"/>
        </w:rPr>
        <w:t xml:space="preserve"> then 18 days</w:t>
      </w:r>
      <w:r w:rsidR="008A6CC5" w:rsidRPr="00A12C3F">
        <w:rPr>
          <w:rFonts w:ascii="Helvetica" w:hAnsi="Helvetica" w:cs="Helvetica"/>
        </w:rPr>
        <w:t xml:space="preserve"> after that (5th communication), then 46 days after that (6th communication).</w:t>
      </w:r>
    </w:p>
    <w:p w14:paraId="40B5FD1A" w14:textId="72181F79" w:rsidR="00F7420A" w:rsidRPr="00A12C3F" w:rsidRDefault="002F52A0" w:rsidP="00F7420A">
      <w:pPr>
        <w:pStyle w:val="Heading2"/>
        <w:spacing w:after="240"/>
        <w:ind w:firstLine="720"/>
        <w:rPr>
          <w:rFonts w:ascii="Helvetica" w:hAnsi="Helvetica" w:cs="Helvetica"/>
        </w:rPr>
      </w:pPr>
      <w:r w:rsidRPr="00A12C3F">
        <w:rPr>
          <w:rFonts w:ascii="Helvetica" w:hAnsi="Helvetica" w:cs="Helvetica"/>
        </w:rPr>
        <w:t>3.6 IOPC Statistics</w:t>
      </w:r>
    </w:p>
    <w:p w14:paraId="08C8DFBB" w14:textId="23293095" w:rsidR="00F7420A" w:rsidRPr="00A12C3F" w:rsidRDefault="00F7420A" w:rsidP="00A12C3F">
      <w:pPr>
        <w:ind w:left="720"/>
        <w:rPr>
          <w:rFonts w:ascii="Helvetica" w:hAnsi="Helvetica" w:cs="Helvetica"/>
        </w:rPr>
      </w:pPr>
      <w:r w:rsidRPr="00A12C3F">
        <w:rPr>
          <w:rFonts w:ascii="Helvetica" w:hAnsi="Helvetica" w:cs="Helvetica"/>
        </w:rPr>
        <w:t xml:space="preserve">The following statistics have been extracted from the IOPC </w:t>
      </w:r>
      <w:r w:rsidR="00A12C3F" w:rsidRPr="00A12C3F">
        <w:rPr>
          <w:rFonts w:ascii="Helvetica" w:hAnsi="Helvetica" w:cs="Helvetica"/>
        </w:rPr>
        <w:t>Police Complaints Statistics for England and Wales 2018/19:</w:t>
      </w:r>
    </w:p>
    <w:p w14:paraId="7E398D2E" w14:textId="75E6623B" w:rsidR="00A12C3F" w:rsidRPr="00A12C3F" w:rsidRDefault="00A12C3F" w:rsidP="00A12C3F">
      <w:pPr>
        <w:ind w:left="720"/>
        <w:rPr>
          <w:rFonts w:ascii="Helvetica" w:hAnsi="Helvetica" w:cs="Helvetica"/>
          <w:u w:val="single"/>
        </w:rPr>
      </w:pPr>
      <w:r w:rsidRPr="00A12C3F">
        <w:rPr>
          <w:rFonts w:ascii="Helvetica" w:hAnsi="Helvetica" w:cs="Helvetica"/>
          <w:u w:val="single"/>
        </w:rPr>
        <w:t>Recording Decision</w:t>
      </w:r>
    </w:p>
    <w:p w14:paraId="1EEE7E84" w14:textId="44FEB476" w:rsidR="00F7420A" w:rsidRPr="00A12C3F" w:rsidRDefault="00F7420A" w:rsidP="00A12C3F">
      <w:pPr>
        <w:ind w:left="720"/>
        <w:rPr>
          <w:rFonts w:ascii="Helvetica" w:hAnsi="Helvetica" w:cs="Helvetica"/>
        </w:rPr>
      </w:pPr>
      <w:r w:rsidRPr="00A12C3F">
        <w:rPr>
          <w:rFonts w:ascii="Helvetica" w:hAnsi="Helvetica" w:cs="Helvetica"/>
        </w:rPr>
        <w:t xml:space="preserve">During the 2018/19 financial year, Dyfed Powys Police recorded 97% </w:t>
      </w:r>
      <w:r w:rsidR="00A12C3F" w:rsidRPr="00A12C3F">
        <w:rPr>
          <w:rFonts w:ascii="Helvetica" w:hAnsi="Helvetica" w:cs="Helvetica"/>
        </w:rPr>
        <w:t>complaint cases within 10 working days.</w:t>
      </w:r>
    </w:p>
    <w:p w14:paraId="5B2839A0" w14:textId="2BB9463A" w:rsidR="00A12C3F" w:rsidRPr="00A12C3F" w:rsidRDefault="00A12C3F" w:rsidP="00A12C3F">
      <w:pPr>
        <w:ind w:left="720"/>
        <w:rPr>
          <w:rFonts w:ascii="Helvetica" w:hAnsi="Helvetica" w:cs="Helvetica"/>
          <w:u w:val="single"/>
        </w:rPr>
      </w:pPr>
      <w:r w:rsidRPr="00A12C3F">
        <w:rPr>
          <w:rFonts w:ascii="Helvetica" w:hAnsi="Helvetica" w:cs="Helvetica"/>
          <w:u w:val="single"/>
        </w:rPr>
        <w:t>Complaint Progress Updates</w:t>
      </w:r>
    </w:p>
    <w:p w14:paraId="7DC7F742" w14:textId="7E99A67E" w:rsidR="00A12C3F" w:rsidRPr="00A12C3F" w:rsidRDefault="00A12C3F" w:rsidP="00A12C3F">
      <w:pPr>
        <w:ind w:left="720"/>
        <w:rPr>
          <w:rFonts w:ascii="Helvetica" w:hAnsi="Helvetica" w:cs="Helvetica"/>
        </w:rPr>
      </w:pPr>
      <w:r w:rsidRPr="00A12C3F">
        <w:rPr>
          <w:rFonts w:ascii="Helvetica" w:hAnsi="Helvetica" w:cs="Helvetica"/>
        </w:rPr>
        <w:t>Data in relation to complaint progress updates is not reported on by the IOPC; therefore no comparisons can be drawn.</w:t>
      </w:r>
    </w:p>
    <w:p w14:paraId="22B49E9E" w14:textId="7FFF6FEA" w:rsidR="00C5265A" w:rsidRPr="00A12C3F" w:rsidRDefault="002F52A0" w:rsidP="00C5265A">
      <w:pPr>
        <w:pStyle w:val="Heading2"/>
        <w:spacing w:after="240"/>
        <w:ind w:firstLine="720"/>
        <w:rPr>
          <w:rFonts w:ascii="Helvetica" w:hAnsi="Helvetica" w:cs="Helvetica"/>
        </w:rPr>
      </w:pPr>
      <w:r w:rsidRPr="00A12C3F">
        <w:rPr>
          <w:rFonts w:ascii="Helvetica" w:hAnsi="Helvetica" w:cs="Helvetica"/>
        </w:rPr>
        <w:t>3.2 Conclusion</w:t>
      </w:r>
      <w:r w:rsidR="005477BB" w:rsidRPr="00A12C3F">
        <w:rPr>
          <w:rFonts w:ascii="Helvetica" w:hAnsi="Helvetica" w:cs="Helvetica"/>
        </w:rPr>
        <w:t>s</w:t>
      </w:r>
      <w:r w:rsidRPr="00A12C3F">
        <w:rPr>
          <w:rFonts w:ascii="Helvetica" w:hAnsi="Helvetica" w:cs="Helvetica"/>
        </w:rPr>
        <w:t xml:space="preserve"> and Recommendations</w:t>
      </w:r>
    </w:p>
    <w:p w14:paraId="32E4BC56" w14:textId="32C25D4C" w:rsidR="00BD10D2" w:rsidRPr="00A12C3F" w:rsidRDefault="00BD10D2" w:rsidP="00BD10D2">
      <w:pPr>
        <w:pStyle w:val="NoSpacing"/>
        <w:rPr>
          <w:rFonts w:ascii="Helvetica" w:hAnsi="Helvetica" w:cs="Helvetica"/>
          <w:u w:val="single"/>
        </w:rPr>
      </w:pPr>
      <w:r w:rsidRPr="00A12C3F">
        <w:rPr>
          <w:rFonts w:ascii="Helvetica" w:hAnsi="Helvetica" w:cs="Helvetica"/>
        </w:rPr>
        <w:tab/>
      </w:r>
      <w:r w:rsidRPr="00A12C3F">
        <w:rPr>
          <w:rFonts w:ascii="Helvetica" w:hAnsi="Helvetica" w:cs="Helvetica"/>
          <w:u w:val="single"/>
        </w:rPr>
        <w:t>Conclusion</w:t>
      </w:r>
      <w:r w:rsidR="005477BB" w:rsidRPr="00A12C3F">
        <w:rPr>
          <w:rFonts w:ascii="Helvetica" w:hAnsi="Helvetica" w:cs="Helvetica"/>
          <w:u w:val="single"/>
        </w:rPr>
        <w:t>s</w:t>
      </w:r>
    </w:p>
    <w:p w14:paraId="4ED3ECC6" w14:textId="77777777" w:rsidR="00BD10D2" w:rsidRPr="00A12C3F" w:rsidRDefault="00BD10D2" w:rsidP="00BD10D2">
      <w:pPr>
        <w:pStyle w:val="NoSpacing"/>
        <w:rPr>
          <w:rFonts w:ascii="Helvetica" w:hAnsi="Helvetica" w:cs="Helvetica"/>
        </w:rPr>
      </w:pPr>
    </w:p>
    <w:p w14:paraId="4F762CB0" w14:textId="788E716E" w:rsidR="00DB1208" w:rsidRPr="00A12C3F" w:rsidRDefault="002E2A6B" w:rsidP="002E2A6B">
      <w:pPr>
        <w:pStyle w:val="NoSpacing"/>
        <w:numPr>
          <w:ilvl w:val="0"/>
          <w:numId w:val="19"/>
        </w:numPr>
        <w:rPr>
          <w:rFonts w:ascii="Helvetica" w:hAnsi="Helvetica" w:cs="Helvetica"/>
        </w:rPr>
      </w:pPr>
      <w:r w:rsidRPr="00A12C3F">
        <w:rPr>
          <w:rFonts w:ascii="Helvetica" w:hAnsi="Helvetica" w:cs="Helvetica"/>
        </w:rPr>
        <w:t>When considering the complaint case that was initially directed to the Chief Constables’ Office, I conclude that 24 working days to re-direct a complaint to PSD is excessive and would fall below the standard expected by a complainant. When</w:t>
      </w:r>
      <w:r w:rsidR="005477BB" w:rsidRPr="00A12C3F">
        <w:rPr>
          <w:rFonts w:ascii="Helvetica" w:hAnsi="Helvetica" w:cs="Helvetica"/>
        </w:rPr>
        <w:t xml:space="preserve"> a complaint is received by</w:t>
      </w:r>
      <w:r w:rsidRPr="00A12C3F">
        <w:rPr>
          <w:rFonts w:ascii="Helvetica" w:hAnsi="Helvetica" w:cs="Helvetica"/>
        </w:rPr>
        <w:t xml:space="preserve"> Dyfed Powys Police, a recording decision should be made within 10 working days</w:t>
      </w:r>
      <w:r w:rsidR="005477BB" w:rsidRPr="00A12C3F">
        <w:rPr>
          <w:rFonts w:ascii="Helvetica" w:hAnsi="Helvetica" w:cs="Helvetica"/>
        </w:rPr>
        <w:t>.</w:t>
      </w:r>
      <w:r w:rsidRPr="00A12C3F">
        <w:rPr>
          <w:rFonts w:ascii="Helvetica" w:hAnsi="Helvetica" w:cs="Helvetica"/>
        </w:rPr>
        <w:t xml:space="preserve"> The fact that the Chief Constables’ Office did not forward this </w:t>
      </w:r>
      <w:r w:rsidR="005477BB" w:rsidRPr="00A12C3F">
        <w:rPr>
          <w:rFonts w:ascii="Helvetica" w:hAnsi="Helvetica" w:cs="Helvetica"/>
        </w:rPr>
        <w:t xml:space="preserve">particular </w:t>
      </w:r>
      <w:r w:rsidRPr="00A12C3F">
        <w:rPr>
          <w:rFonts w:ascii="Helvetica" w:hAnsi="Helvetica" w:cs="Helvetica"/>
        </w:rPr>
        <w:t>complaint onto PSD until 24 working days after receipt, immediately render</w:t>
      </w:r>
      <w:r w:rsidR="005477BB" w:rsidRPr="00A12C3F">
        <w:rPr>
          <w:rFonts w:ascii="Helvetica" w:hAnsi="Helvetica" w:cs="Helvetica"/>
        </w:rPr>
        <w:t>s this complaint non-</w:t>
      </w:r>
      <w:r w:rsidRPr="00A12C3F">
        <w:rPr>
          <w:rFonts w:ascii="Helvetica" w:hAnsi="Helvetica" w:cs="Helvetica"/>
        </w:rPr>
        <w:t>compliant (albeit, PSD make a recording</w:t>
      </w:r>
      <w:r w:rsidR="005477BB" w:rsidRPr="00A12C3F">
        <w:rPr>
          <w:rFonts w:ascii="Helvetica" w:hAnsi="Helvetica" w:cs="Helvetica"/>
        </w:rPr>
        <w:t xml:space="preserve"> decision</w:t>
      </w:r>
      <w:r w:rsidRPr="00A12C3F">
        <w:rPr>
          <w:rFonts w:ascii="Helvetica" w:hAnsi="Helvetica" w:cs="Helvetica"/>
        </w:rPr>
        <w:t xml:space="preserve"> from the date that they have received the complaint, rather than when it was received in Force). In addition, the d</w:t>
      </w:r>
      <w:r w:rsidR="008B5D4D" w:rsidRPr="00A12C3F">
        <w:rPr>
          <w:rFonts w:ascii="Helvetica" w:hAnsi="Helvetica" w:cs="Helvetica"/>
        </w:rPr>
        <w:t>elay of</w:t>
      </w:r>
      <w:r w:rsidRPr="00A12C3F">
        <w:rPr>
          <w:rFonts w:ascii="Helvetica" w:hAnsi="Helvetica" w:cs="Helvetica"/>
        </w:rPr>
        <w:t xml:space="preserve"> the allocation of the complaint case</w:t>
      </w:r>
      <w:r w:rsidR="008B5D4D" w:rsidRPr="00A12C3F">
        <w:rPr>
          <w:rFonts w:ascii="Helvetica" w:hAnsi="Helvetica" w:cs="Helvetica"/>
        </w:rPr>
        <w:t xml:space="preserve"> to PSD </w:t>
      </w:r>
      <w:r w:rsidRPr="00A12C3F">
        <w:rPr>
          <w:rFonts w:ascii="Helvetica" w:hAnsi="Helvetica" w:cs="Helvetica"/>
        </w:rPr>
        <w:t xml:space="preserve">by the Chief Constables’ Office increases the likelihood of the </w:t>
      </w:r>
      <w:r w:rsidR="008B5D4D" w:rsidRPr="00A12C3F">
        <w:rPr>
          <w:rFonts w:ascii="Helvetica" w:hAnsi="Helvetica" w:cs="Helvetica"/>
        </w:rPr>
        <w:t xml:space="preserve">complainant making a further complaint against the Chief Constable to the </w:t>
      </w:r>
      <w:r w:rsidRPr="00A12C3F">
        <w:rPr>
          <w:rFonts w:ascii="Helvetica" w:hAnsi="Helvetica" w:cs="Helvetica"/>
        </w:rPr>
        <w:t>OPCC.</w:t>
      </w:r>
    </w:p>
    <w:p w14:paraId="70FC5AFE" w14:textId="77777777" w:rsidR="006B465A" w:rsidRPr="00A12C3F" w:rsidRDefault="006B465A" w:rsidP="006B465A">
      <w:pPr>
        <w:pStyle w:val="NoSpacing"/>
        <w:ind w:left="1080"/>
        <w:rPr>
          <w:rFonts w:ascii="Helvetica" w:hAnsi="Helvetica" w:cs="Helvetica"/>
        </w:rPr>
      </w:pPr>
    </w:p>
    <w:p w14:paraId="783587FB" w14:textId="25AED0C2" w:rsidR="006B465A" w:rsidRPr="00A12C3F" w:rsidRDefault="006B465A" w:rsidP="002E2A6B">
      <w:pPr>
        <w:pStyle w:val="NoSpacing"/>
        <w:numPr>
          <w:ilvl w:val="0"/>
          <w:numId w:val="19"/>
        </w:numPr>
        <w:rPr>
          <w:rFonts w:ascii="Helvetica" w:hAnsi="Helvetica" w:cs="Helvetica"/>
        </w:rPr>
      </w:pPr>
      <w:r w:rsidRPr="00A12C3F">
        <w:rPr>
          <w:rFonts w:ascii="Helvetica" w:hAnsi="Helvetica" w:cs="Helvetica"/>
        </w:rPr>
        <w:t xml:space="preserve">In the case where a meeting was arranged to take place 59 days after the initial recording decision, this </w:t>
      </w:r>
      <w:r w:rsidR="005B33A6">
        <w:rPr>
          <w:rFonts w:ascii="Helvetica" w:hAnsi="Helvetica" w:cs="Helvetica"/>
        </w:rPr>
        <w:t xml:space="preserve">case was handled at divisional level rather than </w:t>
      </w:r>
      <w:r w:rsidR="00BF3C6B" w:rsidRPr="00A12C3F">
        <w:rPr>
          <w:rFonts w:ascii="Helvetica" w:hAnsi="Helvetica" w:cs="Helvetica"/>
        </w:rPr>
        <w:t xml:space="preserve">centrally </w:t>
      </w:r>
      <w:r w:rsidRPr="00A12C3F">
        <w:rPr>
          <w:rFonts w:ascii="Helvetica" w:hAnsi="Helvetica" w:cs="Helvetica"/>
        </w:rPr>
        <w:t>by PSD.</w:t>
      </w:r>
      <w:r w:rsidR="00B70BB5" w:rsidRPr="00A12C3F">
        <w:rPr>
          <w:rFonts w:ascii="Helvetica" w:hAnsi="Helvetica" w:cs="Helvetica"/>
        </w:rPr>
        <w:t xml:space="preserve"> The meeting date may have been mutually agreed early in the complaint process, however there is no recorded evidence to support this</w:t>
      </w:r>
      <w:r w:rsidR="00BF3C6B" w:rsidRPr="00A12C3F">
        <w:rPr>
          <w:rFonts w:ascii="Helvetica" w:hAnsi="Helvetica" w:cs="Helvetica"/>
        </w:rPr>
        <w:t xml:space="preserve"> and no recorded complainant updates</w:t>
      </w:r>
      <w:r w:rsidR="00B70BB5" w:rsidRPr="00A12C3F">
        <w:rPr>
          <w:rFonts w:ascii="Helvetica" w:hAnsi="Helvetica" w:cs="Helvetica"/>
        </w:rPr>
        <w:t>,</w:t>
      </w:r>
      <w:r w:rsidR="00BD10D2" w:rsidRPr="00A12C3F">
        <w:rPr>
          <w:rFonts w:ascii="Helvetica" w:hAnsi="Helvetica" w:cs="Helvetica"/>
        </w:rPr>
        <w:t xml:space="preserve"> which goes against the guidelines set out </w:t>
      </w:r>
      <w:r w:rsidR="005B33A6">
        <w:rPr>
          <w:rFonts w:ascii="Helvetica" w:hAnsi="Helvetica" w:cs="Helvetica"/>
        </w:rPr>
        <w:t>in the Police (Complaints and Misconduct) Regulations 2012</w:t>
      </w:r>
      <w:r w:rsidR="00BD10D2" w:rsidRPr="00A12C3F">
        <w:rPr>
          <w:rFonts w:ascii="Helvetica" w:hAnsi="Helvetica" w:cs="Helvetica"/>
        </w:rPr>
        <w:t>.</w:t>
      </w:r>
    </w:p>
    <w:p w14:paraId="21867C1C" w14:textId="77777777" w:rsidR="008B5D4D" w:rsidRPr="00A12C3F" w:rsidRDefault="008B5D4D" w:rsidP="008B5D4D">
      <w:pPr>
        <w:pStyle w:val="NoSpacing"/>
        <w:ind w:left="1080"/>
        <w:rPr>
          <w:rFonts w:ascii="Helvetica" w:hAnsi="Helvetica" w:cs="Helvetica"/>
        </w:rPr>
      </w:pPr>
    </w:p>
    <w:p w14:paraId="21306044" w14:textId="6B2D9C22" w:rsidR="008B5D4D" w:rsidRPr="00A12C3F" w:rsidRDefault="00E11D8A" w:rsidP="002E2A6B">
      <w:pPr>
        <w:pStyle w:val="NoSpacing"/>
        <w:numPr>
          <w:ilvl w:val="0"/>
          <w:numId w:val="19"/>
        </w:numPr>
        <w:rPr>
          <w:rFonts w:ascii="Helvetica" w:hAnsi="Helvetica" w:cs="Helvetica"/>
        </w:rPr>
      </w:pPr>
      <w:r w:rsidRPr="00A12C3F">
        <w:rPr>
          <w:rFonts w:ascii="Helvetica" w:hAnsi="Helvetica" w:cs="Helvetica"/>
        </w:rPr>
        <w:t>In relation to the complaint</w:t>
      </w:r>
      <w:r w:rsidR="00BF3C6B" w:rsidRPr="00A12C3F">
        <w:rPr>
          <w:rFonts w:ascii="Helvetica" w:hAnsi="Helvetica" w:cs="Helvetica"/>
        </w:rPr>
        <w:t xml:space="preserve"> case</w:t>
      </w:r>
      <w:r w:rsidRPr="00A12C3F">
        <w:rPr>
          <w:rFonts w:ascii="Helvetica" w:hAnsi="Helvetica" w:cs="Helvetica"/>
        </w:rPr>
        <w:t xml:space="preserve"> that required </w:t>
      </w:r>
      <w:r w:rsidR="00BF3C6B" w:rsidRPr="00A12C3F">
        <w:rPr>
          <w:rFonts w:ascii="Helvetica" w:hAnsi="Helvetica" w:cs="Helvetica"/>
        </w:rPr>
        <w:t>multiple</w:t>
      </w:r>
      <w:r w:rsidRPr="00A12C3F">
        <w:rPr>
          <w:rFonts w:ascii="Helvetica" w:hAnsi="Helvetica" w:cs="Helvetica"/>
        </w:rPr>
        <w:t xml:space="preserve"> complainant update</w:t>
      </w:r>
      <w:r w:rsidR="00BF3C6B" w:rsidRPr="00A12C3F">
        <w:rPr>
          <w:rFonts w:ascii="Helvetica" w:hAnsi="Helvetica" w:cs="Helvetica"/>
        </w:rPr>
        <w:t>s</w:t>
      </w:r>
      <w:r w:rsidR="00CC55B1" w:rsidRPr="00A12C3F">
        <w:rPr>
          <w:rFonts w:ascii="Helvetica" w:hAnsi="Helvetica" w:cs="Helvetica"/>
        </w:rPr>
        <w:t xml:space="preserve">, </w:t>
      </w:r>
      <w:r w:rsidRPr="00A12C3F">
        <w:rPr>
          <w:rFonts w:ascii="Helvetica" w:hAnsi="Helvetica" w:cs="Helvetica"/>
        </w:rPr>
        <w:t>PSD had regular contact with the complainant throughout the process as a result of enquiries</w:t>
      </w:r>
      <w:r w:rsidR="00BF3C6B" w:rsidRPr="00A12C3F">
        <w:rPr>
          <w:rFonts w:ascii="Helvetica" w:hAnsi="Helvetica" w:cs="Helvetica"/>
        </w:rPr>
        <w:t xml:space="preserve"> required to reach a final decision</w:t>
      </w:r>
      <w:r w:rsidR="005B33A6">
        <w:rPr>
          <w:rFonts w:ascii="Helvetica" w:hAnsi="Helvetica" w:cs="Helvetica"/>
        </w:rPr>
        <w:t xml:space="preserve">, rather than regular </w:t>
      </w:r>
      <w:r w:rsidRPr="00A12C3F">
        <w:rPr>
          <w:rFonts w:ascii="Helvetica" w:hAnsi="Helvetica" w:cs="Helvetica"/>
        </w:rPr>
        <w:t>scheduled update</w:t>
      </w:r>
      <w:r w:rsidR="005B33A6">
        <w:rPr>
          <w:rFonts w:ascii="Helvetica" w:hAnsi="Helvetica" w:cs="Helvetica"/>
        </w:rPr>
        <w:t>s (every 28 days).</w:t>
      </w:r>
      <w:r w:rsidR="003E6E3D" w:rsidRPr="00A12C3F">
        <w:rPr>
          <w:rFonts w:ascii="Helvetica" w:hAnsi="Helvetica" w:cs="Helvetica"/>
        </w:rPr>
        <w:t xml:space="preserve"> </w:t>
      </w:r>
      <w:r w:rsidR="004E069A">
        <w:rPr>
          <w:rFonts w:ascii="Helvetica" w:hAnsi="Helvetica" w:cs="Helvetica"/>
        </w:rPr>
        <w:t xml:space="preserve">However </w:t>
      </w:r>
      <w:r w:rsidRPr="00A12C3F">
        <w:rPr>
          <w:rFonts w:ascii="Helvetica" w:hAnsi="Helvetica" w:cs="Helvetica"/>
        </w:rPr>
        <w:t xml:space="preserve">it is encouraging to see that communication </w:t>
      </w:r>
      <w:r w:rsidR="004E069A">
        <w:rPr>
          <w:rFonts w:ascii="Helvetica" w:hAnsi="Helvetica" w:cs="Helvetica"/>
        </w:rPr>
        <w:t xml:space="preserve">between PSD and the complainant </w:t>
      </w:r>
      <w:r w:rsidRPr="00A12C3F">
        <w:rPr>
          <w:rFonts w:ascii="Helvetica" w:hAnsi="Helvetica" w:cs="Helvetica"/>
        </w:rPr>
        <w:t>was regular throughout the process.</w:t>
      </w:r>
    </w:p>
    <w:p w14:paraId="5D87A8EF" w14:textId="7AEC0C59" w:rsidR="00BD10D2" w:rsidRPr="00A12C3F" w:rsidRDefault="00BD10D2" w:rsidP="00BD10D2">
      <w:pPr>
        <w:pStyle w:val="ListParagraph"/>
        <w:rPr>
          <w:rFonts w:ascii="Helvetica" w:hAnsi="Helvetica" w:cs="Helvetica"/>
        </w:rPr>
      </w:pPr>
    </w:p>
    <w:p w14:paraId="4CA2BD79" w14:textId="47C20ADA" w:rsidR="00BD10D2" w:rsidRPr="00A12C3F" w:rsidRDefault="00BD10D2" w:rsidP="00BD10D2">
      <w:pPr>
        <w:pStyle w:val="ListParagraph"/>
        <w:rPr>
          <w:rFonts w:ascii="Helvetica" w:hAnsi="Helvetica" w:cs="Helvetica"/>
          <w:u w:val="single"/>
        </w:rPr>
      </w:pPr>
      <w:r w:rsidRPr="00A12C3F">
        <w:rPr>
          <w:rFonts w:ascii="Helvetica" w:hAnsi="Helvetica" w:cs="Helvetica"/>
          <w:u w:val="single"/>
        </w:rPr>
        <w:t>Recommendations</w:t>
      </w:r>
    </w:p>
    <w:p w14:paraId="6F9DEB8C" w14:textId="42FDC176" w:rsidR="00F22CC5" w:rsidRPr="00A12C3F" w:rsidRDefault="002E1A84" w:rsidP="00FD27A8">
      <w:pPr>
        <w:pStyle w:val="NoSpacing"/>
        <w:numPr>
          <w:ilvl w:val="0"/>
          <w:numId w:val="19"/>
        </w:numPr>
        <w:rPr>
          <w:rFonts w:ascii="Helvetica" w:hAnsi="Helvetica" w:cs="Helvetica"/>
        </w:rPr>
      </w:pPr>
      <w:r>
        <w:rPr>
          <w:rFonts w:ascii="Helvetica" w:hAnsi="Helvetica" w:cs="Helvetica"/>
        </w:rPr>
        <w:lastRenderedPageBreak/>
        <w:t xml:space="preserve">Over the next three months, </w:t>
      </w:r>
      <w:r w:rsidR="00F22CC5" w:rsidRPr="00A12C3F">
        <w:rPr>
          <w:rFonts w:ascii="Helvetica" w:hAnsi="Helvetica" w:cs="Helvetica"/>
        </w:rPr>
        <w:t>PSD are to record</w:t>
      </w:r>
      <w:r>
        <w:rPr>
          <w:rFonts w:ascii="Helvetica" w:hAnsi="Helvetica" w:cs="Helvetica"/>
        </w:rPr>
        <w:t xml:space="preserve"> (if not already done so) the number of days between initial receipt of a complaint in Force and PSD receipt of the complaint, including the department the complaint was initially sent to by the complainant.</w:t>
      </w:r>
    </w:p>
    <w:p w14:paraId="32B1B5C1" w14:textId="77777777" w:rsidR="00F22CC5" w:rsidRPr="00A12C3F" w:rsidRDefault="00F22CC5" w:rsidP="00F22CC5">
      <w:pPr>
        <w:pStyle w:val="NoSpacing"/>
        <w:ind w:left="1080"/>
        <w:rPr>
          <w:rFonts w:ascii="Helvetica" w:hAnsi="Helvetica" w:cs="Helvetica"/>
        </w:rPr>
      </w:pPr>
    </w:p>
    <w:p w14:paraId="385BE1FF" w14:textId="65ECABC4" w:rsidR="00FD27A8" w:rsidRPr="00A12C3F" w:rsidRDefault="00BD10D2" w:rsidP="00FD27A8">
      <w:pPr>
        <w:pStyle w:val="NoSpacing"/>
        <w:numPr>
          <w:ilvl w:val="0"/>
          <w:numId w:val="19"/>
        </w:numPr>
        <w:rPr>
          <w:rFonts w:ascii="Helvetica" w:hAnsi="Helvetica" w:cs="Helvetica"/>
        </w:rPr>
      </w:pPr>
      <w:r w:rsidRPr="00A12C3F">
        <w:rPr>
          <w:rFonts w:ascii="Helvetica" w:hAnsi="Helvetica" w:cs="Helvetica"/>
        </w:rPr>
        <w:t>A copy of this report should be made available to th</w:t>
      </w:r>
      <w:r w:rsidR="00F22CC5" w:rsidRPr="00A12C3F">
        <w:rPr>
          <w:rFonts w:ascii="Helvetica" w:hAnsi="Helvetica" w:cs="Helvetica"/>
        </w:rPr>
        <w:t xml:space="preserve">e Chief Constable and the </w:t>
      </w:r>
      <w:r w:rsidRPr="00A12C3F">
        <w:rPr>
          <w:rFonts w:ascii="Helvetica" w:hAnsi="Helvetica" w:cs="Helvetica"/>
        </w:rPr>
        <w:t>administrative structure</w:t>
      </w:r>
      <w:r w:rsidR="00F22CC5" w:rsidRPr="00A12C3F">
        <w:rPr>
          <w:rFonts w:ascii="Helvetica" w:hAnsi="Helvetica" w:cs="Helvetica"/>
        </w:rPr>
        <w:t xml:space="preserve"> </w:t>
      </w:r>
      <w:r w:rsidRPr="00A12C3F">
        <w:rPr>
          <w:rFonts w:ascii="Helvetica" w:hAnsi="Helvetica" w:cs="Helvetica"/>
        </w:rPr>
        <w:t>within the Chief Constables’ Office should be reviewed to identify if this was an isolated incident or whether this is a repetitive issue.</w:t>
      </w:r>
      <w:r w:rsidR="00F22CC5" w:rsidRPr="00A12C3F">
        <w:rPr>
          <w:rFonts w:ascii="Helvetica" w:hAnsi="Helvetica" w:cs="Helvetica"/>
        </w:rPr>
        <w:t xml:space="preserve"> An update should be provided at the next available Policing Board.</w:t>
      </w:r>
    </w:p>
    <w:p w14:paraId="01E090B3" w14:textId="77777777" w:rsidR="00FD27A8" w:rsidRPr="00A12C3F" w:rsidRDefault="00FD27A8" w:rsidP="00FD27A8">
      <w:pPr>
        <w:pStyle w:val="NoSpacing"/>
        <w:ind w:left="1080"/>
        <w:rPr>
          <w:rFonts w:ascii="Helvetica" w:hAnsi="Helvetica" w:cs="Helvetica"/>
        </w:rPr>
      </w:pPr>
    </w:p>
    <w:p w14:paraId="6A63CF60" w14:textId="029306A2" w:rsidR="009173B1" w:rsidRPr="00A12C3F" w:rsidRDefault="00BB01D3" w:rsidP="00FD27A8">
      <w:pPr>
        <w:pStyle w:val="NoSpacing"/>
        <w:numPr>
          <w:ilvl w:val="0"/>
          <w:numId w:val="19"/>
        </w:numPr>
        <w:rPr>
          <w:rFonts w:ascii="Helvetica" w:hAnsi="Helvetica" w:cs="Helvetica"/>
        </w:rPr>
      </w:pPr>
      <w:r w:rsidRPr="00A12C3F">
        <w:rPr>
          <w:rFonts w:ascii="Helvetica" w:hAnsi="Helvetica" w:cs="Helvetica"/>
        </w:rPr>
        <w:t>T</w:t>
      </w:r>
      <w:r w:rsidR="00BD10D2" w:rsidRPr="00A12C3F">
        <w:rPr>
          <w:rFonts w:ascii="Helvetica" w:hAnsi="Helvetica" w:cs="Helvetica"/>
        </w:rPr>
        <w:t>he OP</w:t>
      </w:r>
      <w:r w:rsidR="00794BA9" w:rsidRPr="00A12C3F">
        <w:rPr>
          <w:rFonts w:ascii="Helvetica" w:hAnsi="Helvetica" w:cs="Helvetica"/>
        </w:rPr>
        <w:t>CC require</w:t>
      </w:r>
      <w:r w:rsidR="00BD10D2" w:rsidRPr="00A12C3F">
        <w:rPr>
          <w:rFonts w:ascii="Helvetica" w:hAnsi="Helvetica" w:cs="Helvetica"/>
        </w:rPr>
        <w:t xml:space="preserve"> a</w:t>
      </w:r>
      <w:r w:rsidR="009173B1" w:rsidRPr="00A12C3F">
        <w:rPr>
          <w:rFonts w:ascii="Helvetica" w:hAnsi="Helvetica" w:cs="Helvetica"/>
        </w:rPr>
        <w:t>n overview</w:t>
      </w:r>
      <w:r w:rsidR="00BD10D2" w:rsidRPr="00A12C3F">
        <w:rPr>
          <w:rFonts w:ascii="Helvetica" w:hAnsi="Helvetica" w:cs="Helvetica"/>
        </w:rPr>
        <w:t xml:space="preserve"> from PSD to </w:t>
      </w:r>
      <w:r w:rsidR="009173B1" w:rsidRPr="00A12C3F">
        <w:rPr>
          <w:rFonts w:ascii="Helvetica" w:hAnsi="Helvetica" w:cs="Helvetica"/>
        </w:rPr>
        <w:t>inform</w:t>
      </w:r>
      <w:r w:rsidR="00BD10D2" w:rsidRPr="00A12C3F">
        <w:rPr>
          <w:rFonts w:ascii="Helvetica" w:hAnsi="Helvetica" w:cs="Helvetica"/>
        </w:rPr>
        <w:t xml:space="preserve"> how </w:t>
      </w:r>
      <w:r w:rsidRPr="00A12C3F">
        <w:rPr>
          <w:rFonts w:ascii="Helvetica" w:hAnsi="Helvetica" w:cs="Helvetica"/>
        </w:rPr>
        <w:t xml:space="preserve">PSD manage compliance with </w:t>
      </w:r>
      <w:r w:rsidR="00831CBA">
        <w:rPr>
          <w:rFonts w:ascii="Helvetica" w:hAnsi="Helvetica" w:cs="Helvetica"/>
        </w:rPr>
        <w:t xml:space="preserve">Police (Complaints and Misconduct) Regulations 2012 </w:t>
      </w:r>
      <w:r w:rsidR="002E1A84">
        <w:rPr>
          <w:rFonts w:ascii="Helvetica" w:hAnsi="Helvetica" w:cs="Helvetica"/>
        </w:rPr>
        <w:t xml:space="preserve">concerning ‘contact with the complainant’ </w:t>
      </w:r>
      <w:r w:rsidRPr="00A12C3F">
        <w:rPr>
          <w:rFonts w:ascii="Helvetica" w:hAnsi="Helvetica" w:cs="Helvetica"/>
        </w:rPr>
        <w:t>when a complaint is managed by divisional officers/staff.</w:t>
      </w:r>
      <w:r w:rsidR="009173B1" w:rsidRPr="00A12C3F">
        <w:rPr>
          <w:rFonts w:ascii="Helvetica" w:hAnsi="Helvetica" w:cs="Helvetica"/>
        </w:rPr>
        <w:t xml:space="preserve"> </w:t>
      </w:r>
    </w:p>
    <w:p w14:paraId="69F04264" w14:textId="5A532C68" w:rsidR="004903C4" w:rsidRPr="00A12C3F" w:rsidRDefault="004903C4" w:rsidP="002F52A0">
      <w:pPr>
        <w:pStyle w:val="NoSpacing"/>
        <w:rPr>
          <w:rFonts w:ascii="Helvetica" w:hAnsi="Helvetica" w:cs="Helvetica"/>
        </w:rPr>
      </w:pPr>
    </w:p>
    <w:p w14:paraId="29DC2E5D" w14:textId="28E17A24" w:rsidR="004903C4" w:rsidRPr="00A12C3F" w:rsidRDefault="002F52A0" w:rsidP="004903C4">
      <w:pPr>
        <w:pStyle w:val="Heading2"/>
        <w:spacing w:after="240"/>
        <w:ind w:firstLine="720"/>
        <w:rPr>
          <w:rFonts w:ascii="Helvetica" w:hAnsi="Helvetica" w:cs="Helvetica"/>
        </w:rPr>
      </w:pPr>
      <w:r w:rsidRPr="00A12C3F">
        <w:rPr>
          <w:rFonts w:ascii="Helvetica" w:hAnsi="Helvetica" w:cs="Helvetica"/>
        </w:rPr>
        <w:t>3.3</w:t>
      </w:r>
      <w:r w:rsidR="004903C4" w:rsidRPr="00A12C3F">
        <w:rPr>
          <w:rFonts w:ascii="Helvetica" w:hAnsi="Helvetica" w:cs="Helvetica"/>
        </w:rPr>
        <w:t xml:space="preserve"> Professional Standards Department Comments</w:t>
      </w:r>
    </w:p>
    <w:bookmarkEnd w:id="0"/>
    <w:p w14:paraId="161F06D8" w14:textId="77777777" w:rsidR="00146A94" w:rsidRDefault="00146A94" w:rsidP="00146A94">
      <w:pPr>
        <w:pStyle w:val="NoSpacing"/>
        <w:ind w:left="720"/>
        <w:rPr>
          <w:rFonts w:ascii="Helvetica" w:hAnsi="Helvetica" w:cs="Helvetica"/>
        </w:rPr>
      </w:pPr>
      <w:r w:rsidRPr="00365465">
        <w:rPr>
          <w:rFonts w:ascii="Helvetica" w:hAnsi="Helvetica" w:cs="Helvetica"/>
        </w:rPr>
        <w:t>The Professional Standards Department welcomes the findings of the inaugural Police and Crime Commissioner dip sampling report compiled as part of the Complaints Scrutiny Framework. This provides an opportunity to work in collaboration with the Police and Crime Commissioner to improve our performance and the quality of the service we offer.</w:t>
      </w:r>
    </w:p>
    <w:p w14:paraId="3F5637A1" w14:textId="77777777" w:rsidR="00146A94" w:rsidRPr="00365465" w:rsidRDefault="00146A94" w:rsidP="00146A94">
      <w:pPr>
        <w:pStyle w:val="NoSpacing"/>
        <w:ind w:left="720"/>
        <w:rPr>
          <w:rFonts w:ascii="Helvetica" w:hAnsi="Helvetica" w:cs="Helvetica"/>
        </w:rPr>
      </w:pPr>
    </w:p>
    <w:p w14:paraId="69A0E6F0" w14:textId="77777777" w:rsidR="00146A94" w:rsidRDefault="00146A94" w:rsidP="00146A94">
      <w:pPr>
        <w:pStyle w:val="NoSpacing"/>
        <w:ind w:left="720"/>
        <w:rPr>
          <w:rFonts w:ascii="Helvetica" w:hAnsi="Helvetica" w:cs="Helvetica"/>
        </w:rPr>
      </w:pPr>
      <w:r w:rsidRPr="00365465">
        <w:rPr>
          <w:rFonts w:ascii="Helvetica" w:hAnsi="Helvetica" w:cs="Helvetica"/>
        </w:rPr>
        <w:t xml:space="preserve">It was reassuring to note that all eight cases reviewed were recorded within 10 working days. This is an area previously identified as requiring improvement and the department has put a number of measures in place to improve performance, </w:t>
      </w:r>
      <w:r>
        <w:rPr>
          <w:rFonts w:ascii="Helvetica" w:hAnsi="Helvetica" w:cs="Helvetica"/>
        </w:rPr>
        <w:t xml:space="preserve">as </w:t>
      </w:r>
      <w:r w:rsidRPr="00365465">
        <w:rPr>
          <w:rFonts w:ascii="Helvetica" w:hAnsi="Helvetica" w:cs="Helvetica"/>
        </w:rPr>
        <w:t>reflected by the IOPC statistics.</w:t>
      </w:r>
    </w:p>
    <w:p w14:paraId="5CC88204" w14:textId="77777777" w:rsidR="00146A94" w:rsidRPr="00365465" w:rsidRDefault="00146A94" w:rsidP="00146A94">
      <w:pPr>
        <w:pStyle w:val="NoSpacing"/>
        <w:ind w:left="720"/>
        <w:rPr>
          <w:rFonts w:ascii="Helvetica" w:hAnsi="Helvetica" w:cs="Helvetica"/>
        </w:rPr>
      </w:pPr>
    </w:p>
    <w:p w14:paraId="1330C4D3" w14:textId="77777777" w:rsidR="00146A94" w:rsidRDefault="00146A94" w:rsidP="00146A94">
      <w:pPr>
        <w:pStyle w:val="NoSpacing"/>
        <w:ind w:left="720"/>
        <w:rPr>
          <w:rFonts w:ascii="Helvetica" w:hAnsi="Helvetica" w:cs="Helvetica"/>
        </w:rPr>
      </w:pPr>
      <w:r w:rsidRPr="00365465">
        <w:rPr>
          <w:rFonts w:ascii="Helvetica" w:hAnsi="Helvetica" w:cs="Helvetica"/>
        </w:rPr>
        <w:t xml:space="preserve">The one case where it took 59 days to meet with the complainant has been noted, although communication between the officer and the complainant indicates that contact had been made </w:t>
      </w:r>
      <w:r>
        <w:rPr>
          <w:rFonts w:ascii="Helvetica" w:hAnsi="Helvetica" w:cs="Helvetica"/>
        </w:rPr>
        <w:t>prior to the 59 days</w:t>
      </w:r>
      <w:r w:rsidRPr="00365465">
        <w:rPr>
          <w:rFonts w:ascii="Helvetica" w:hAnsi="Helvetica" w:cs="Helvetica"/>
        </w:rPr>
        <w:t xml:space="preserve">. The issue in this particular case appears to be an incomplete record of contact. </w:t>
      </w:r>
    </w:p>
    <w:p w14:paraId="50FB7F4F" w14:textId="77777777" w:rsidR="00146A94" w:rsidRPr="00365465" w:rsidRDefault="00146A94" w:rsidP="00146A94">
      <w:pPr>
        <w:pStyle w:val="NoSpacing"/>
        <w:ind w:left="720"/>
        <w:rPr>
          <w:rFonts w:ascii="Helvetica" w:hAnsi="Helvetica" w:cs="Helvetica"/>
        </w:rPr>
      </w:pPr>
    </w:p>
    <w:p w14:paraId="5B4FDD6D" w14:textId="77777777" w:rsidR="00146A94" w:rsidRDefault="00146A94" w:rsidP="00146A94">
      <w:pPr>
        <w:pStyle w:val="NoSpacing"/>
        <w:ind w:left="720"/>
        <w:rPr>
          <w:rFonts w:ascii="Helvetica" w:hAnsi="Helvetica" w:cs="Helvetica"/>
        </w:rPr>
      </w:pPr>
      <w:r w:rsidRPr="00365465">
        <w:rPr>
          <w:rFonts w:ascii="Helvetica" w:hAnsi="Helvetica" w:cs="Helvetica"/>
        </w:rPr>
        <w:t>This has identified a potential are</w:t>
      </w:r>
      <w:r>
        <w:rPr>
          <w:rFonts w:ascii="Helvetica" w:hAnsi="Helvetica" w:cs="Helvetica"/>
        </w:rPr>
        <w:t xml:space="preserve">a of vulnerability, whereby we update </w:t>
      </w:r>
      <w:r w:rsidRPr="00365465">
        <w:rPr>
          <w:rFonts w:ascii="Helvetica" w:hAnsi="Helvetica" w:cs="Helvetica"/>
        </w:rPr>
        <w:t xml:space="preserve">complainants appropriately, but </w:t>
      </w:r>
      <w:r>
        <w:rPr>
          <w:rFonts w:ascii="Helvetica" w:hAnsi="Helvetica" w:cs="Helvetica"/>
        </w:rPr>
        <w:t>do not evidence</w:t>
      </w:r>
      <w:r w:rsidRPr="00365465">
        <w:rPr>
          <w:rFonts w:ascii="Helvetica" w:hAnsi="Helvetica" w:cs="Helvetica"/>
        </w:rPr>
        <w:t xml:space="preserve"> it. This has been noted and the Professional Standards Department will review </w:t>
      </w:r>
      <w:r>
        <w:rPr>
          <w:rFonts w:ascii="Helvetica" w:hAnsi="Helvetica" w:cs="Helvetica"/>
        </w:rPr>
        <w:t>the process for documenting contact</w:t>
      </w:r>
      <w:r w:rsidRPr="00365465">
        <w:rPr>
          <w:rFonts w:ascii="Helvetica" w:hAnsi="Helvetica" w:cs="Helvetica"/>
        </w:rPr>
        <w:t xml:space="preserve"> to ensure it is suitably robust.</w:t>
      </w:r>
    </w:p>
    <w:p w14:paraId="21EE95BC" w14:textId="77777777" w:rsidR="00146A94" w:rsidRPr="00365465" w:rsidRDefault="00146A94" w:rsidP="00146A94">
      <w:pPr>
        <w:pStyle w:val="NoSpacing"/>
        <w:ind w:left="720"/>
        <w:rPr>
          <w:rFonts w:ascii="Helvetica" w:hAnsi="Helvetica" w:cs="Helvetica"/>
        </w:rPr>
      </w:pPr>
    </w:p>
    <w:p w14:paraId="58F31FCB" w14:textId="77777777" w:rsidR="00146A94" w:rsidRDefault="00146A94" w:rsidP="00146A94">
      <w:pPr>
        <w:pStyle w:val="NoSpacing"/>
        <w:ind w:left="720"/>
        <w:rPr>
          <w:rFonts w:ascii="Helvetica" w:hAnsi="Helvetica" w:cs="Helvetica"/>
        </w:rPr>
      </w:pPr>
      <w:r w:rsidRPr="00365465">
        <w:rPr>
          <w:rFonts w:ascii="Helvetica" w:hAnsi="Helvetica" w:cs="Helvetica"/>
        </w:rPr>
        <w:t>Response to Recommendations</w:t>
      </w:r>
      <w:r>
        <w:rPr>
          <w:rFonts w:ascii="Helvetica" w:hAnsi="Helvetica" w:cs="Helvetica"/>
        </w:rPr>
        <w:t>:</w:t>
      </w:r>
    </w:p>
    <w:p w14:paraId="02178811" w14:textId="77777777" w:rsidR="00146A94" w:rsidRPr="00365465" w:rsidRDefault="00146A94" w:rsidP="00146A94">
      <w:pPr>
        <w:pStyle w:val="NoSpacing"/>
        <w:ind w:left="720"/>
        <w:rPr>
          <w:rFonts w:ascii="Helvetica" w:hAnsi="Helvetica" w:cs="Helvetica"/>
        </w:rPr>
      </w:pPr>
    </w:p>
    <w:p w14:paraId="5BCB9511" w14:textId="77777777" w:rsidR="00146A94" w:rsidRDefault="00146A94" w:rsidP="00146A94">
      <w:pPr>
        <w:pStyle w:val="NoSpacing"/>
        <w:numPr>
          <w:ilvl w:val="0"/>
          <w:numId w:val="21"/>
        </w:numPr>
        <w:ind w:left="720"/>
        <w:rPr>
          <w:rFonts w:ascii="Helvetica" w:hAnsi="Helvetica" w:cs="Helvetica"/>
        </w:rPr>
      </w:pPr>
      <w:r w:rsidRPr="00365465">
        <w:rPr>
          <w:rFonts w:ascii="Helvetica" w:hAnsi="Helvetica" w:cs="Helvetica"/>
        </w:rPr>
        <w:t>At present</w:t>
      </w:r>
      <w:r>
        <w:rPr>
          <w:rFonts w:ascii="Helvetica" w:hAnsi="Helvetica" w:cs="Helvetica"/>
        </w:rPr>
        <w:t>,</w:t>
      </w:r>
      <w:r w:rsidRPr="00365465">
        <w:rPr>
          <w:rFonts w:ascii="Helvetica" w:hAnsi="Helvetica" w:cs="Helvetica"/>
        </w:rPr>
        <w:t xml:space="preserve"> the date a complaint is received in Force and the date it is received in PSD are both recorded and captured on Centurion and a report can be produced for the benefit of the Police and Crime Commissioner. It should however be noted that from the 1st February 2020, when the new reforms take effect, dates will no </w:t>
      </w:r>
      <w:r>
        <w:rPr>
          <w:rFonts w:ascii="Helvetica" w:hAnsi="Helvetica" w:cs="Helvetica"/>
        </w:rPr>
        <w:t xml:space="preserve">longer be captured in this way and there will be </w:t>
      </w:r>
      <w:r w:rsidRPr="00365465">
        <w:rPr>
          <w:rFonts w:ascii="Helvetica" w:hAnsi="Helvetica" w:cs="Helvetica"/>
        </w:rPr>
        <w:t>change in emphasis on when complaints are received and logged.</w:t>
      </w:r>
    </w:p>
    <w:p w14:paraId="2C22A36B" w14:textId="77777777" w:rsidR="00146A94" w:rsidRDefault="00146A94" w:rsidP="00146A94">
      <w:pPr>
        <w:pStyle w:val="NoSpacing"/>
        <w:ind w:left="720"/>
        <w:rPr>
          <w:rFonts w:ascii="Helvetica" w:hAnsi="Helvetica" w:cs="Helvetica"/>
        </w:rPr>
      </w:pPr>
    </w:p>
    <w:p w14:paraId="47E3FC1D" w14:textId="77777777" w:rsidR="00146A94" w:rsidRDefault="00146A94" w:rsidP="00146A94">
      <w:pPr>
        <w:pStyle w:val="NoSpacing"/>
        <w:numPr>
          <w:ilvl w:val="0"/>
          <w:numId w:val="21"/>
        </w:numPr>
        <w:ind w:left="720"/>
        <w:rPr>
          <w:rFonts w:ascii="Helvetica" w:hAnsi="Helvetica" w:cs="Helvetica"/>
        </w:rPr>
      </w:pPr>
      <w:r w:rsidRPr="00365465">
        <w:rPr>
          <w:rFonts w:ascii="Helvetica" w:hAnsi="Helvetica" w:cs="Helvetica"/>
        </w:rPr>
        <w:t>A copy of this report had been made a</w:t>
      </w:r>
      <w:r>
        <w:rPr>
          <w:rFonts w:ascii="Helvetica" w:hAnsi="Helvetica" w:cs="Helvetica"/>
        </w:rPr>
        <w:t>vailable to the Chief Constable. The PSD Complaints and Misconduct Supervisor will also engage with the Chief Constable’s staff to ensure there is a suitable referral process in place.</w:t>
      </w:r>
    </w:p>
    <w:p w14:paraId="104BBFE0" w14:textId="77777777" w:rsidR="00146A94" w:rsidRDefault="00146A94" w:rsidP="00146A94">
      <w:pPr>
        <w:pStyle w:val="NoSpacing"/>
        <w:rPr>
          <w:rFonts w:ascii="Helvetica" w:hAnsi="Helvetica" w:cs="Helvetica"/>
        </w:rPr>
      </w:pPr>
    </w:p>
    <w:p w14:paraId="450CB7F6" w14:textId="77777777" w:rsidR="00146A94" w:rsidRDefault="00146A94" w:rsidP="00146A94">
      <w:pPr>
        <w:pStyle w:val="NoSpacing"/>
        <w:numPr>
          <w:ilvl w:val="0"/>
          <w:numId w:val="21"/>
        </w:numPr>
        <w:ind w:left="720"/>
        <w:rPr>
          <w:rFonts w:ascii="Helvetica" w:hAnsi="Helvetica" w:cs="Helvetica"/>
        </w:rPr>
      </w:pPr>
      <w:r w:rsidRPr="00365465">
        <w:rPr>
          <w:rFonts w:ascii="Helvetica" w:hAnsi="Helvetica" w:cs="Helvetica"/>
        </w:rPr>
        <w:lastRenderedPageBreak/>
        <w:t xml:space="preserve">PSD provide various training inputs to officers and staff, </w:t>
      </w:r>
      <w:r>
        <w:rPr>
          <w:rFonts w:ascii="Helvetica" w:hAnsi="Helvetica" w:cs="Helvetica"/>
        </w:rPr>
        <w:t>which covers complaint handling, which includes communication with</w:t>
      </w:r>
      <w:r w:rsidRPr="00365465">
        <w:rPr>
          <w:rFonts w:ascii="Helvetica" w:hAnsi="Helvetica" w:cs="Helvetica"/>
        </w:rPr>
        <w:t xml:space="preserve"> complainant</w:t>
      </w:r>
      <w:r>
        <w:rPr>
          <w:rFonts w:ascii="Helvetica" w:hAnsi="Helvetica" w:cs="Helvetica"/>
        </w:rPr>
        <w:t>s</w:t>
      </w:r>
      <w:r w:rsidRPr="00365465">
        <w:rPr>
          <w:rFonts w:ascii="Helvetica" w:hAnsi="Helvetica" w:cs="Helvetica"/>
        </w:rPr>
        <w:t>. In addition when an officer or member of staff is allocated a complaint they are reminded of their requirement to provide a statutory update to the complainant.</w:t>
      </w:r>
    </w:p>
    <w:p w14:paraId="13FA2C11" w14:textId="77777777" w:rsidR="00146A94" w:rsidRPr="00365465" w:rsidRDefault="00146A94" w:rsidP="00146A94">
      <w:pPr>
        <w:pStyle w:val="NoSpacing"/>
        <w:rPr>
          <w:rFonts w:ascii="Helvetica" w:hAnsi="Helvetica" w:cs="Helvetica"/>
        </w:rPr>
      </w:pPr>
    </w:p>
    <w:p w14:paraId="7F793787" w14:textId="77777777" w:rsidR="00146A94" w:rsidRDefault="00146A94" w:rsidP="00146A94">
      <w:pPr>
        <w:pStyle w:val="NoSpacing"/>
        <w:ind w:left="720"/>
        <w:rPr>
          <w:rFonts w:ascii="Helvetica" w:hAnsi="Helvetica" w:cs="Helvetica"/>
        </w:rPr>
      </w:pPr>
      <w:r w:rsidRPr="00365465">
        <w:rPr>
          <w:rFonts w:ascii="Helvetica" w:hAnsi="Helvetica" w:cs="Helvetica"/>
        </w:rPr>
        <w:t>For purposes of an audit trail, contact with a complainant is recorded by the complaint handler on the Local Resolution template or in the case of an investigation on the accompanying record of contact form.</w:t>
      </w:r>
    </w:p>
    <w:p w14:paraId="68542E73" w14:textId="77777777" w:rsidR="00146A94" w:rsidRPr="00365465" w:rsidRDefault="00146A94" w:rsidP="00146A94">
      <w:pPr>
        <w:pStyle w:val="NoSpacing"/>
        <w:ind w:left="720"/>
        <w:rPr>
          <w:rFonts w:ascii="Helvetica" w:hAnsi="Helvetica" w:cs="Helvetica"/>
        </w:rPr>
      </w:pPr>
    </w:p>
    <w:p w14:paraId="0086EE16" w14:textId="77777777" w:rsidR="00146A94" w:rsidRPr="00A12C3F" w:rsidRDefault="00146A94" w:rsidP="00146A94">
      <w:pPr>
        <w:pStyle w:val="NoSpacing"/>
        <w:ind w:left="720"/>
        <w:rPr>
          <w:rFonts w:ascii="Helvetica" w:hAnsi="Helvetica" w:cs="Helvetica"/>
        </w:rPr>
      </w:pPr>
      <w:r w:rsidRPr="00365465">
        <w:rPr>
          <w:rFonts w:ascii="Helvetica" w:hAnsi="Helvetica" w:cs="Helvetica"/>
        </w:rPr>
        <w:t>Regular checks of the records are carried out by PSD, to ensure that complainants are receiving updates as they should. If there appears to be non-compliance and a training need is identified, PSD follow up appropriately.</w:t>
      </w:r>
      <w:bookmarkStart w:id="1" w:name="_GoBack"/>
      <w:bookmarkEnd w:id="1"/>
    </w:p>
    <w:sectPr w:rsidR="00146A94" w:rsidRPr="00A12C3F" w:rsidSect="00F943D8">
      <w:headerReference w:type="default" r:id="rId15"/>
      <w:footerReference w:type="default" r:id="rId16"/>
      <w:pgSz w:w="11906" w:h="16838"/>
      <w:pgMar w:top="1440" w:right="1440" w:bottom="1702"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6370BA" w14:textId="77777777" w:rsidR="00C447AB" w:rsidRDefault="00C447AB" w:rsidP="00581215">
      <w:pPr>
        <w:spacing w:after="0" w:line="240" w:lineRule="auto"/>
      </w:pPr>
      <w:r>
        <w:separator/>
      </w:r>
    </w:p>
  </w:endnote>
  <w:endnote w:type="continuationSeparator" w:id="0">
    <w:p w14:paraId="0AA9FE93" w14:textId="77777777" w:rsidR="00C447AB" w:rsidRDefault="00C447AB" w:rsidP="00581215">
      <w:pPr>
        <w:spacing w:after="0" w:line="240" w:lineRule="auto"/>
      </w:pPr>
      <w:r>
        <w:continuationSeparator/>
      </w:r>
    </w:p>
  </w:endnote>
  <w:endnote w:type="continuationNotice" w:id="1">
    <w:p w14:paraId="7E0AE491" w14:textId="77777777" w:rsidR="00C447AB" w:rsidRDefault="00C447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72" w:type="dxa"/>
        <w:left w:w="115" w:type="dxa"/>
        <w:bottom w:w="72" w:type="dxa"/>
        <w:right w:w="115" w:type="dxa"/>
      </w:tblCellMar>
      <w:tblLook w:val="04A0" w:firstRow="1" w:lastRow="0" w:firstColumn="1" w:lastColumn="0" w:noHBand="0" w:noVBand="1"/>
    </w:tblPr>
    <w:tblGrid>
      <w:gridCol w:w="8123"/>
      <w:gridCol w:w="903"/>
    </w:tblGrid>
    <w:tr w:rsidR="00AD3D5E" w:rsidRPr="00797A05" w14:paraId="11AA1544" w14:textId="77777777" w:rsidTr="00797A05">
      <w:trPr>
        <w:trHeight w:val="343"/>
        <w:jc w:val="center"/>
      </w:trPr>
      <w:tc>
        <w:tcPr>
          <w:tcW w:w="4500" w:type="pct"/>
          <w:tcBorders>
            <w:top w:val="single" w:sz="4" w:space="0" w:color="000000"/>
          </w:tcBorders>
        </w:tcPr>
        <w:p w14:paraId="64C4DC1C" w14:textId="77777777" w:rsidR="00AD3D5E" w:rsidRPr="00797A05" w:rsidRDefault="00AD3D5E" w:rsidP="003B3E67">
          <w:pPr>
            <w:pStyle w:val="Footer"/>
            <w:jc w:val="right"/>
            <w:rPr>
              <w:rFonts w:ascii="Arial" w:hAnsi="Arial" w:cs="Arial"/>
              <w:sz w:val="18"/>
              <w:szCs w:val="18"/>
            </w:rPr>
          </w:pPr>
        </w:p>
      </w:tc>
      <w:tc>
        <w:tcPr>
          <w:tcW w:w="500" w:type="pct"/>
          <w:tcBorders>
            <w:top w:val="single" w:sz="4" w:space="0" w:color="C0504D"/>
          </w:tcBorders>
          <w:shd w:val="clear" w:color="auto" w:fill="548DD4"/>
        </w:tcPr>
        <w:p w14:paraId="6F3CFC5B" w14:textId="0A44B518" w:rsidR="00AD3D5E" w:rsidRPr="00797A05" w:rsidRDefault="00AD3D5E" w:rsidP="003B3E67">
          <w:pPr>
            <w:pStyle w:val="Header"/>
            <w:rPr>
              <w:rFonts w:ascii="Arial" w:hAnsi="Arial" w:cs="Arial"/>
              <w:color w:val="FFFFFF"/>
              <w:sz w:val="18"/>
              <w:szCs w:val="18"/>
            </w:rPr>
          </w:pP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sidR="00146A94">
            <w:rPr>
              <w:rFonts w:ascii="Arial" w:hAnsi="Arial" w:cs="Arial"/>
              <w:noProof/>
              <w:sz w:val="18"/>
              <w:szCs w:val="18"/>
            </w:rPr>
            <w:t>2</w:t>
          </w:r>
          <w:r>
            <w:rPr>
              <w:rFonts w:ascii="Arial" w:hAnsi="Arial" w:cs="Arial"/>
              <w:sz w:val="18"/>
              <w:szCs w:val="18"/>
            </w:rPr>
            <w:fldChar w:fldCharType="end"/>
          </w:r>
        </w:p>
      </w:tc>
    </w:tr>
  </w:tbl>
  <w:p w14:paraId="44FE7BE3" w14:textId="77777777" w:rsidR="00AD3D5E" w:rsidRDefault="00AD3D5E" w:rsidP="00BC6A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0FC7BB" w14:textId="77777777" w:rsidR="00C447AB" w:rsidRDefault="00C447AB" w:rsidP="00581215">
      <w:pPr>
        <w:spacing w:after="0" w:line="240" w:lineRule="auto"/>
      </w:pPr>
      <w:r>
        <w:separator/>
      </w:r>
    </w:p>
  </w:footnote>
  <w:footnote w:type="continuationSeparator" w:id="0">
    <w:p w14:paraId="07690B3F" w14:textId="77777777" w:rsidR="00C447AB" w:rsidRDefault="00C447AB" w:rsidP="00581215">
      <w:pPr>
        <w:spacing w:after="0" w:line="240" w:lineRule="auto"/>
      </w:pPr>
      <w:r>
        <w:continuationSeparator/>
      </w:r>
    </w:p>
  </w:footnote>
  <w:footnote w:type="continuationNotice" w:id="1">
    <w:p w14:paraId="4D1C8F38" w14:textId="77777777" w:rsidR="00C447AB" w:rsidRDefault="00C447A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2708"/>
      <w:gridCol w:w="6318"/>
    </w:tblGrid>
    <w:tr w:rsidR="00AD3D5E" w:rsidRPr="00797A05" w14:paraId="128310FA" w14:textId="77777777" w:rsidTr="00797A05">
      <w:trPr>
        <w:trHeight w:val="489"/>
      </w:trPr>
      <w:tc>
        <w:tcPr>
          <w:tcW w:w="1500" w:type="pct"/>
          <w:tcBorders>
            <w:bottom w:val="single" w:sz="4" w:space="0" w:color="943634"/>
          </w:tcBorders>
          <w:shd w:val="clear" w:color="auto" w:fill="548DD4"/>
          <w:vAlign w:val="bottom"/>
        </w:tcPr>
        <w:p w14:paraId="5ABB0DF4" w14:textId="2B985744" w:rsidR="00AD3D5E" w:rsidRPr="00797A05" w:rsidRDefault="007648BA" w:rsidP="00765912">
          <w:pPr>
            <w:pStyle w:val="Header"/>
            <w:jc w:val="right"/>
            <w:rPr>
              <w:color w:val="FFFFFF"/>
            </w:rPr>
          </w:pPr>
          <w:r>
            <w:rPr>
              <w:color w:val="FFFFFF"/>
            </w:rPr>
            <w:t>November</w:t>
          </w:r>
          <w:r w:rsidR="00342AB9">
            <w:rPr>
              <w:color w:val="FFFFFF"/>
            </w:rPr>
            <w:t xml:space="preserve"> 2019</w:t>
          </w:r>
        </w:p>
      </w:tc>
      <w:tc>
        <w:tcPr>
          <w:tcW w:w="3500" w:type="pct"/>
          <w:tcBorders>
            <w:bottom w:val="single" w:sz="4" w:space="0" w:color="auto"/>
          </w:tcBorders>
          <w:vAlign w:val="bottom"/>
        </w:tcPr>
        <w:p w14:paraId="551339BB" w14:textId="77777777" w:rsidR="00AD3D5E" w:rsidRDefault="00AD3D5E" w:rsidP="006F7F0F">
          <w:pPr>
            <w:pStyle w:val="Header"/>
            <w:rPr>
              <w:rFonts w:cs="Arial"/>
              <w:b/>
              <w:bCs/>
              <w:caps/>
              <w:sz w:val="20"/>
            </w:rPr>
          </w:pPr>
          <w:r>
            <w:rPr>
              <w:noProof/>
              <w:lang w:eastAsia="en-GB"/>
            </w:rPr>
            <w:drawing>
              <wp:anchor distT="0" distB="0" distL="114300" distR="114300" simplePos="0" relativeHeight="251657216" behindDoc="1" locked="0" layoutInCell="1" allowOverlap="1" wp14:anchorId="5B24EC6E" wp14:editId="328F195E">
                <wp:simplePos x="0" y="0"/>
                <wp:positionH relativeFrom="column">
                  <wp:posOffset>2628265</wp:posOffset>
                </wp:positionH>
                <wp:positionV relativeFrom="paragraph">
                  <wp:posOffset>-290830</wp:posOffset>
                </wp:positionV>
                <wp:extent cx="1300480" cy="654685"/>
                <wp:effectExtent l="0" t="0" r="0" b="0"/>
                <wp:wrapNone/>
                <wp:docPr id="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6546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9AB0F2" w14:textId="77777777" w:rsidR="00AD3D5E" w:rsidRPr="00797A05" w:rsidRDefault="00AD3D5E" w:rsidP="006F7F0F">
          <w:pPr>
            <w:pStyle w:val="Header"/>
            <w:rPr>
              <w:rFonts w:cs="Arial"/>
              <w:b/>
              <w:bCs/>
              <w:caps/>
              <w:sz w:val="20"/>
            </w:rPr>
          </w:pPr>
        </w:p>
      </w:tc>
    </w:tr>
  </w:tbl>
  <w:p w14:paraId="492F1139" w14:textId="77777777" w:rsidR="00AD3D5E" w:rsidRDefault="00AD3D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2708"/>
      <w:gridCol w:w="6318"/>
    </w:tblGrid>
    <w:tr w:rsidR="00AD3D5E" w:rsidRPr="00797A05" w14:paraId="4224A9A8" w14:textId="77777777" w:rsidTr="00797A05">
      <w:trPr>
        <w:trHeight w:val="489"/>
      </w:trPr>
      <w:tc>
        <w:tcPr>
          <w:tcW w:w="1500" w:type="pct"/>
          <w:tcBorders>
            <w:bottom w:val="single" w:sz="4" w:space="0" w:color="943634"/>
          </w:tcBorders>
          <w:shd w:val="clear" w:color="auto" w:fill="548DD4"/>
          <w:vAlign w:val="bottom"/>
        </w:tcPr>
        <w:p w14:paraId="055FC118" w14:textId="523413DF" w:rsidR="00AD3D5E" w:rsidRPr="00797A05" w:rsidRDefault="007648BA" w:rsidP="00CC0FC5">
          <w:pPr>
            <w:pStyle w:val="Header"/>
            <w:rPr>
              <w:color w:val="FFFFFF"/>
            </w:rPr>
          </w:pPr>
          <w:r>
            <w:rPr>
              <w:color w:val="FFFFFF"/>
            </w:rPr>
            <w:t>November</w:t>
          </w:r>
          <w:r w:rsidR="005D4853">
            <w:rPr>
              <w:color w:val="FFFFFF"/>
            </w:rPr>
            <w:t xml:space="preserve"> 2019</w:t>
          </w:r>
        </w:p>
      </w:tc>
      <w:tc>
        <w:tcPr>
          <w:tcW w:w="3500" w:type="pct"/>
          <w:tcBorders>
            <w:bottom w:val="single" w:sz="4" w:space="0" w:color="auto"/>
          </w:tcBorders>
          <w:vAlign w:val="bottom"/>
        </w:tcPr>
        <w:p w14:paraId="457F5D22" w14:textId="77777777" w:rsidR="00AD3D5E" w:rsidRPr="00797A05" w:rsidRDefault="00AD3D5E" w:rsidP="006F7F0F">
          <w:pPr>
            <w:pStyle w:val="Header"/>
            <w:rPr>
              <w:rFonts w:cs="Arial"/>
              <w:b/>
              <w:bCs/>
              <w:caps/>
              <w:sz w:val="20"/>
            </w:rPr>
          </w:pPr>
          <w:r>
            <w:rPr>
              <w:noProof/>
              <w:lang w:eastAsia="en-GB"/>
            </w:rPr>
            <w:drawing>
              <wp:anchor distT="0" distB="0" distL="114300" distR="114300" simplePos="0" relativeHeight="251659264" behindDoc="1" locked="0" layoutInCell="1" allowOverlap="1" wp14:anchorId="36CD0A15" wp14:editId="7308A6C9">
                <wp:simplePos x="0" y="0"/>
                <wp:positionH relativeFrom="column">
                  <wp:posOffset>4932045</wp:posOffset>
                </wp:positionH>
                <wp:positionV relativeFrom="paragraph">
                  <wp:posOffset>-293370</wp:posOffset>
                </wp:positionV>
                <wp:extent cx="1300480" cy="654685"/>
                <wp:effectExtent l="0" t="0" r="0" b="0"/>
                <wp:wrapNone/>
                <wp:docPr id="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6546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138D76BD" w14:textId="77777777" w:rsidR="00AD3D5E" w:rsidRDefault="00AD3D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E099B"/>
    <w:multiLevelType w:val="hybridMultilevel"/>
    <w:tmpl w:val="BB9031B6"/>
    <w:lvl w:ilvl="0" w:tplc="54640C1A">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887510F"/>
    <w:multiLevelType w:val="hybridMultilevel"/>
    <w:tmpl w:val="F6722C3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B4A38E4"/>
    <w:multiLevelType w:val="hybridMultilevel"/>
    <w:tmpl w:val="8EE6B7E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0E673F66"/>
    <w:multiLevelType w:val="hybridMultilevel"/>
    <w:tmpl w:val="CE004A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0C619B"/>
    <w:multiLevelType w:val="hybridMultilevel"/>
    <w:tmpl w:val="82C2AC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5EC292A"/>
    <w:multiLevelType w:val="hybridMultilevel"/>
    <w:tmpl w:val="CB8C634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7664F48"/>
    <w:multiLevelType w:val="hybridMultilevel"/>
    <w:tmpl w:val="6E8456BA"/>
    <w:lvl w:ilvl="0" w:tplc="93FCC7D8">
      <w:start w:val="1"/>
      <w:numFmt w:val="bullet"/>
      <w:lvlText w:val=""/>
      <w:lvlJc w:val="left"/>
      <w:pPr>
        <w:ind w:left="1080" w:hanging="360"/>
      </w:pPr>
      <w:rPr>
        <w:rFonts w:ascii="Wingdings" w:hAnsi="Wingdings" w:hint="default"/>
        <w:b w:val="0"/>
        <w:color w:val="auto"/>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B2B72A5"/>
    <w:multiLevelType w:val="hybridMultilevel"/>
    <w:tmpl w:val="DBFABC0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C517FF3"/>
    <w:multiLevelType w:val="hybridMultilevel"/>
    <w:tmpl w:val="9F2CCE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447720A"/>
    <w:multiLevelType w:val="multilevel"/>
    <w:tmpl w:val="7E98F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EDF1DD"/>
    <w:multiLevelType w:val="hybridMultilevel"/>
    <w:tmpl w:val="773153A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21B6736"/>
    <w:multiLevelType w:val="hybridMultilevel"/>
    <w:tmpl w:val="7D34C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A6123B"/>
    <w:multiLevelType w:val="multilevel"/>
    <w:tmpl w:val="39283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EC2401"/>
    <w:multiLevelType w:val="hybridMultilevel"/>
    <w:tmpl w:val="C40EF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3C7A41"/>
    <w:multiLevelType w:val="hybridMultilevel"/>
    <w:tmpl w:val="D4DEF5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2834D2"/>
    <w:multiLevelType w:val="hybridMultilevel"/>
    <w:tmpl w:val="4D12169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29A0898"/>
    <w:multiLevelType w:val="hybridMultilevel"/>
    <w:tmpl w:val="D6341B8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D7D2859"/>
    <w:multiLevelType w:val="hybridMultilevel"/>
    <w:tmpl w:val="D2E2C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1D03A5"/>
    <w:multiLevelType w:val="hybridMultilevel"/>
    <w:tmpl w:val="E648FB8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840077A"/>
    <w:multiLevelType w:val="multilevel"/>
    <w:tmpl w:val="1A4E951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7EDA471E"/>
    <w:multiLevelType w:val="multilevel"/>
    <w:tmpl w:val="34785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4"/>
  </w:num>
  <w:num w:numId="3">
    <w:abstractNumId w:val="17"/>
  </w:num>
  <w:num w:numId="4">
    <w:abstractNumId w:val="11"/>
  </w:num>
  <w:num w:numId="5">
    <w:abstractNumId w:val="2"/>
  </w:num>
  <w:num w:numId="6">
    <w:abstractNumId w:val="18"/>
  </w:num>
  <w:num w:numId="7">
    <w:abstractNumId w:val="8"/>
  </w:num>
  <w:num w:numId="8">
    <w:abstractNumId w:val="13"/>
  </w:num>
  <w:num w:numId="9">
    <w:abstractNumId w:val="9"/>
  </w:num>
  <w:num w:numId="10">
    <w:abstractNumId w:val="12"/>
  </w:num>
  <w:num w:numId="11">
    <w:abstractNumId w:val="19"/>
  </w:num>
  <w:num w:numId="12">
    <w:abstractNumId w:val="20"/>
  </w:num>
  <w:num w:numId="13">
    <w:abstractNumId w:val="10"/>
  </w:num>
  <w:num w:numId="14">
    <w:abstractNumId w:val="7"/>
  </w:num>
  <w:num w:numId="15">
    <w:abstractNumId w:val="5"/>
  </w:num>
  <w:num w:numId="16">
    <w:abstractNumId w:val="15"/>
  </w:num>
  <w:num w:numId="17">
    <w:abstractNumId w:val="1"/>
  </w:num>
  <w:num w:numId="18">
    <w:abstractNumId w:val="16"/>
  </w:num>
  <w:num w:numId="19">
    <w:abstractNumId w:val="6"/>
  </w:num>
  <w:num w:numId="20">
    <w:abstractNumId w:val="0"/>
  </w:num>
  <w:num w:numId="21">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EC6"/>
    <w:rsid w:val="000016E2"/>
    <w:rsid w:val="00004E33"/>
    <w:rsid w:val="000072DB"/>
    <w:rsid w:val="00011B18"/>
    <w:rsid w:val="0001371D"/>
    <w:rsid w:val="000138BB"/>
    <w:rsid w:val="00014AC8"/>
    <w:rsid w:val="00020A6E"/>
    <w:rsid w:val="00020B05"/>
    <w:rsid w:val="000219CB"/>
    <w:rsid w:val="000222D7"/>
    <w:rsid w:val="000273ED"/>
    <w:rsid w:val="0003033A"/>
    <w:rsid w:val="000310A0"/>
    <w:rsid w:val="00032248"/>
    <w:rsid w:val="00033F58"/>
    <w:rsid w:val="00035924"/>
    <w:rsid w:val="00035D9C"/>
    <w:rsid w:val="000366C3"/>
    <w:rsid w:val="00037130"/>
    <w:rsid w:val="00037BCC"/>
    <w:rsid w:val="00043491"/>
    <w:rsid w:val="00046511"/>
    <w:rsid w:val="000465FE"/>
    <w:rsid w:val="00047777"/>
    <w:rsid w:val="000478DF"/>
    <w:rsid w:val="00047FE6"/>
    <w:rsid w:val="00050ED9"/>
    <w:rsid w:val="00052D9D"/>
    <w:rsid w:val="00054B0B"/>
    <w:rsid w:val="00054C20"/>
    <w:rsid w:val="00055F83"/>
    <w:rsid w:val="000606F6"/>
    <w:rsid w:val="00061762"/>
    <w:rsid w:val="00065632"/>
    <w:rsid w:val="00065CCB"/>
    <w:rsid w:val="00070907"/>
    <w:rsid w:val="00071025"/>
    <w:rsid w:val="00071375"/>
    <w:rsid w:val="000713A2"/>
    <w:rsid w:val="0007439E"/>
    <w:rsid w:val="00074902"/>
    <w:rsid w:val="00077266"/>
    <w:rsid w:val="00080ADE"/>
    <w:rsid w:val="0008261A"/>
    <w:rsid w:val="00083B97"/>
    <w:rsid w:val="00085276"/>
    <w:rsid w:val="0008610F"/>
    <w:rsid w:val="000868F4"/>
    <w:rsid w:val="00087133"/>
    <w:rsid w:val="00087C9B"/>
    <w:rsid w:val="0009151C"/>
    <w:rsid w:val="000926B2"/>
    <w:rsid w:val="0009760D"/>
    <w:rsid w:val="000A1FCF"/>
    <w:rsid w:val="000A436D"/>
    <w:rsid w:val="000B0D69"/>
    <w:rsid w:val="000B1369"/>
    <w:rsid w:val="000B2562"/>
    <w:rsid w:val="000B2744"/>
    <w:rsid w:val="000B7567"/>
    <w:rsid w:val="000B768E"/>
    <w:rsid w:val="000B7BC7"/>
    <w:rsid w:val="000C2EE1"/>
    <w:rsid w:val="000C67B8"/>
    <w:rsid w:val="000D02E5"/>
    <w:rsid w:val="000D15DF"/>
    <w:rsid w:val="000D1FE5"/>
    <w:rsid w:val="000D3A36"/>
    <w:rsid w:val="000D4BEF"/>
    <w:rsid w:val="000D5FBA"/>
    <w:rsid w:val="000D6ECD"/>
    <w:rsid w:val="000E3A09"/>
    <w:rsid w:val="000E54A9"/>
    <w:rsid w:val="000E791A"/>
    <w:rsid w:val="000F0C17"/>
    <w:rsid w:val="000F1BA0"/>
    <w:rsid w:val="000F1FAC"/>
    <w:rsid w:val="000F2A62"/>
    <w:rsid w:val="000F2C6C"/>
    <w:rsid w:val="000F66FE"/>
    <w:rsid w:val="000F6E26"/>
    <w:rsid w:val="000F7005"/>
    <w:rsid w:val="000F7272"/>
    <w:rsid w:val="000F73BB"/>
    <w:rsid w:val="0010178E"/>
    <w:rsid w:val="001025C6"/>
    <w:rsid w:val="001031CD"/>
    <w:rsid w:val="00103EEA"/>
    <w:rsid w:val="001066D1"/>
    <w:rsid w:val="00106FE7"/>
    <w:rsid w:val="00111972"/>
    <w:rsid w:val="00111FB4"/>
    <w:rsid w:val="001136B2"/>
    <w:rsid w:val="001176F1"/>
    <w:rsid w:val="00121F85"/>
    <w:rsid w:val="00131387"/>
    <w:rsid w:val="00131E9C"/>
    <w:rsid w:val="00133C2C"/>
    <w:rsid w:val="00134DDB"/>
    <w:rsid w:val="001355EE"/>
    <w:rsid w:val="00136D5F"/>
    <w:rsid w:val="0013721A"/>
    <w:rsid w:val="0014237A"/>
    <w:rsid w:val="00143CC9"/>
    <w:rsid w:val="00146A94"/>
    <w:rsid w:val="00147143"/>
    <w:rsid w:val="00151E2E"/>
    <w:rsid w:val="00153360"/>
    <w:rsid w:val="001539E0"/>
    <w:rsid w:val="00153CD6"/>
    <w:rsid w:val="00156037"/>
    <w:rsid w:val="00161B09"/>
    <w:rsid w:val="00161B2D"/>
    <w:rsid w:val="001620BA"/>
    <w:rsid w:val="0016228D"/>
    <w:rsid w:val="00163002"/>
    <w:rsid w:val="0016399A"/>
    <w:rsid w:val="00163D96"/>
    <w:rsid w:val="001640D1"/>
    <w:rsid w:val="0016575C"/>
    <w:rsid w:val="00166199"/>
    <w:rsid w:val="00166BD1"/>
    <w:rsid w:val="001672E6"/>
    <w:rsid w:val="001678D8"/>
    <w:rsid w:val="00167EC3"/>
    <w:rsid w:val="00170621"/>
    <w:rsid w:val="00170979"/>
    <w:rsid w:val="00173C2F"/>
    <w:rsid w:val="00174288"/>
    <w:rsid w:val="0017488A"/>
    <w:rsid w:val="00176A34"/>
    <w:rsid w:val="001773E1"/>
    <w:rsid w:val="00182DD5"/>
    <w:rsid w:val="00186420"/>
    <w:rsid w:val="001907B4"/>
    <w:rsid w:val="00192247"/>
    <w:rsid w:val="00192D8C"/>
    <w:rsid w:val="00193471"/>
    <w:rsid w:val="0019633E"/>
    <w:rsid w:val="00196801"/>
    <w:rsid w:val="001A03EF"/>
    <w:rsid w:val="001A1A41"/>
    <w:rsid w:val="001A3745"/>
    <w:rsid w:val="001A4A6D"/>
    <w:rsid w:val="001B07BF"/>
    <w:rsid w:val="001B07FC"/>
    <w:rsid w:val="001B1817"/>
    <w:rsid w:val="001B55FF"/>
    <w:rsid w:val="001B6F40"/>
    <w:rsid w:val="001B7A3C"/>
    <w:rsid w:val="001B7EA5"/>
    <w:rsid w:val="001C576C"/>
    <w:rsid w:val="001C6C8D"/>
    <w:rsid w:val="001D0D55"/>
    <w:rsid w:val="001D12B5"/>
    <w:rsid w:val="001D1611"/>
    <w:rsid w:val="001D2257"/>
    <w:rsid w:val="001D4109"/>
    <w:rsid w:val="001D5EED"/>
    <w:rsid w:val="001D74CC"/>
    <w:rsid w:val="001E293C"/>
    <w:rsid w:val="001E503C"/>
    <w:rsid w:val="001E68D3"/>
    <w:rsid w:val="001E79F4"/>
    <w:rsid w:val="001F163E"/>
    <w:rsid w:val="001F2F7A"/>
    <w:rsid w:val="001F3D3C"/>
    <w:rsid w:val="001F656C"/>
    <w:rsid w:val="001F69D6"/>
    <w:rsid w:val="002005B0"/>
    <w:rsid w:val="0020131A"/>
    <w:rsid w:val="002045C0"/>
    <w:rsid w:val="00204C2D"/>
    <w:rsid w:val="0020516E"/>
    <w:rsid w:val="002078A7"/>
    <w:rsid w:val="00207BD7"/>
    <w:rsid w:val="00213C66"/>
    <w:rsid w:val="00213CF8"/>
    <w:rsid w:val="00213E3A"/>
    <w:rsid w:val="002175EB"/>
    <w:rsid w:val="00217777"/>
    <w:rsid w:val="002179CF"/>
    <w:rsid w:val="0022063A"/>
    <w:rsid w:val="00225198"/>
    <w:rsid w:val="00225E35"/>
    <w:rsid w:val="0022786C"/>
    <w:rsid w:val="00230856"/>
    <w:rsid w:val="002309FD"/>
    <w:rsid w:val="00230FDC"/>
    <w:rsid w:val="00231D1B"/>
    <w:rsid w:val="00233461"/>
    <w:rsid w:val="002368B5"/>
    <w:rsid w:val="00240D5D"/>
    <w:rsid w:val="00241683"/>
    <w:rsid w:val="00241C16"/>
    <w:rsid w:val="00244350"/>
    <w:rsid w:val="00245A36"/>
    <w:rsid w:val="00246E94"/>
    <w:rsid w:val="002478C5"/>
    <w:rsid w:val="002507C3"/>
    <w:rsid w:val="0025183C"/>
    <w:rsid w:val="00253B7D"/>
    <w:rsid w:val="00254A32"/>
    <w:rsid w:val="00256000"/>
    <w:rsid w:val="00256F19"/>
    <w:rsid w:val="00262701"/>
    <w:rsid w:val="002656E3"/>
    <w:rsid w:val="0026599F"/>
    <w:rsid w:val="00266D30"/>
    <w:rsid w:val="00270805"/>
    <w:rsid w:val="002708CC"/>
    <w:rsid w:val="00272089"/>
    <w:rsid w:val="00272219"/>
    <w:rsid w:val="00272502"/>
    <w:rsid w:val="00273A11"/>
    <w:rsid w:val="00277011"/>
    <w:rsid w:val="002832DC"/>
    <w:rsid w:val="00284C25"/>
    <w:rsid w:val="002864BA"/>
    <w:rsid w:val="0028786C"/>
    <w:rsid w:val="00290D70"/>
    <w:rsid w:val="00290E63"/>
    <w:rsid w:val="002917F9"/>
    <w:rsid w:val="00293469"/>
    <w:rsid w:val="00294FE6"/>
    <w:rsid w:val="00295A2C"/>
    <w:rsid w:val="00296C85"/>
    <w:rsid w:val="002A1084"/>
    <w:rsid w:val="002A2877"/>
    <w:rsid w:val="002A31EC"/>
    <w:rsid w:val="002B1472"/>
    <w:rsid w:val="002B31E3"/>
    <w:rsid w:val="002B33CF"/>
    <w:rsid w:val="002B5573"/>
    <w:rsid w:val="002B6CC6"/>
    <w:rsid w:val="002B7B64"/>
    <w:rsid w:val="002C0574"/>
    <w:rsid w:val="002C38D8"/>
    <w:rsid w:val="002C4784"/>
    <w:rsid w:val="002C51C9"/>
    <w:rsid w:val="002C7B86"/>
    <w:rsid w:val="002D1598"/>
    <w:rsid w:val="002D2CCC"/>
    <w:rsid w:val="002D530D"/>
    <w:rsid w:val="002D560D"/>
    <w:rsid w:val="002E1A84"/>
    <w:rsid w:val="002E1BF0"/>
    <w:rsid w:val="002E2A6B"/>
    <w:rsid w:val="002E2E85"/>
    <w:rsid w:val="002E305A"/>
    <w:rsid w:val="002E30BC"/>
    <w:rsid w:val="002E4955"/>
    <w:rsid w:val="002F0709"/>
    <w:rsid w:val="002F14B8"/>
    <w:rsid w:val="002F1FE5"/>
    <w:rsid w:val="002F46B4"/>
    <w:rsid w:val="002F4B7A"/>
    <w:rsid w:val="002F52A0"/>
    <w:rsid w:val="002F616A"/>
    <w:rsid w:val="002F7E74"/>
    <w:rsid w:val="003038B4"/>
    <w:rsid w:val="00306AD1"/>
    <w:rsid w:val="00307D77"/>
    <w:rsid w:val="003150DB"/>
    <w:rsid w:val="00315B8B"/>
    <w:rsid w:val="00317AA2"/>
    <w:rsid w:val="00321CD2"/>
    <w:rsid w:val="00323D2A"/>
    <w:rsid w:val="0032463C"/>
    <w:rsid w:val="003269BE"/>
    <w:rsid w:val="00333D6C"/>
    <w:rsid w:val="003409D7"/>
    <w:rsid w:val="00340BCA"/>
    <w:rsid w:val="00341ADD"/>
    <w:rsid w:val="00342AB9"/>
    <w:rsid w:val="003439B8"/>
    <w:rsid w:val="00344D1A"/>
    <w:rsid w:val="003453F0"/>
    <w:rsid w:val="003456E6"/>
    <w:rsid w:val="00345BEC"/>
    <w:rsid w:val="0034701F"/>
    <w:rsid w:val="00351CA0"/>
    <w:rsid w:val="00351E52"/>
    <w:rsid w:val="00352A22"/>
    <w:rsid w:val="00355870"/>
    <w:rsid w:val="0035722A"/>
    <w:rsid w:val="003630F1"/>
    <w:rsid w:val="00363CE0"/>
    <w:rsid w:val="00363D66"/>
    <w:rsid w:val="00364419"/>
    <w:rsid w:val="003659E2"/>
    <w:rsid w:val="0037384E"/>
    <w:rsid w:val="00373D0D"/>
    <w:rsid w:val="00373EB9"/>
    <w:rsid w:val="00374235"/>
    <w:rsid w:val="00374A41"/>
    <w:rsid w:val="0037795F"/>
    <w:rsid w:val="00377FB1"/>
    <w:rsid w:val="003809E7"/>
    <w:rsid w:val="003814F8"/>
    <w:rsid w:val="003823A2"/>
    <w:rsid w:val="00383036"/>
    <w:rsid w:val="00383646"/>
    <w:rsid w:val="003840A2"/>
    <w:rsid w:val="003841B2"/>
    <w:rsid w:val="00386014"/>
    <w:rsid w:val="0038691E"/>
    <w:rsid w:val="0038756A"/>
    <w:rsid w:val="00387B93"/>
    <w:rsid w:val="003908B3"/>
    <w:rsid w:val="003914E9"/>
    <w:rsid w:val="00391743"/>
    <w:rsid w:val="00391B76"/>
    <w:rsid w:val="00393EBC"/>
    <w:rsid w:val="00393F44"/>
    <w:rsid w:val="003945F5"/>
    <w:rsid w:val="00395B95"/>
    <w:rsid w:val="003A07F3"/>
    <w:rsid w:val="003A18BC"/>
    <w:rsid w:val="003A22D0"/>
    <w:rsid w:val="003A3904"/>
    <w:rsid w:val="003A3E99"/>
    <w:rsid w:val="003A40AB"/>
    <w:rsid w:val="003A50AC"/>
    <w:rsid w:val="003A772D"/>
    <w:rsid w:val="003A7900"/>
    <w:rsid w:val="003B121C"/>
    <w:rsid w:val="003B2418"/>
    <w:rsid w:val="003B2BEA"/>
    <w:rsid w:val="003B3E67"/>
    <w:rsid w:val="003B4A7E"/>
    <w:rsid w:val="003B4DD5"/>
    <w:rsid w:val="003B5FD3"/>
    <w:rsid w:val="003B6B87"/>
    <w:rsid w:val="003C0038"/>
    <w:rsid w:val="003C095C"/>
    <w:rsid w:val="003C0FFE"/>
    <w:rsid w:val="003C112D"/>
    <w:rsid w:val="003C1507"/>
    <w:rsid w:val="003C20E4"/>
    <w:rsid w:val="003C3369"/>
    <w:rsid w:val="003C7155"/>
    <w:rsid w:val="003C7ECD"/>
    <w:rsid w:val="003D021E"/>
    <w:rsid w:val="003D3ED4"/>
    <w:rsid w:val="003E444D"/>
    <w:rsid w:val="003E6E3D"/>
    <w:rsid w:val="003E72A7"/>
    <w:rsid w:val="003F1292"/>
    <w:rsid w:val="003F23CD"/>
    <w:rsid w:val="003F27E8"/>
    <w:rsid w:val="003F44A1"/>
    <w:rsid w:val="003F50CF"/>
    <w:rsid w:val="0040200D"/>
    <w:rsid w:val="0040293B"/>
    <w:rsid w:val="00402F2F"/>
    <w:rsid w:val="00405D2F"/>
    <w:rsid w:val="00406A0B"/>
    <w:rsid w:val="00407E05"/>
    <w:rsid w:val="00413387"/>
    <w:rsid w:val="004148C0"/>
    <w:rsid w:val="00416D66"/>
    <w:rsid w:val="00416F6B"/>
    <w:rsid w:val="00420637"/>
    <w:rsid w:val="0042223E"/>
    <w:rsid w:val="00422D69"/>
    <w:rsid w:val="00422E11"/>
    <w:rsid w:val="00424B61"/>
    <w:rsid w:val="00426F45"/>
    <w:rsid w:val="00427060"/>
    <w:rsid w:val="00430B44"/>
    <w:rsid w:val="00431AFF"/>
    <w:rsid w:val="004335C5"/>
    <w:rsid w:val="0043716A"/>
    <w:rsid w:val="00437534"/>
    <w:rsid w:val="004411A5"/>
    <w:rsid w:val="00441D5D"/>
    <w:rsid w:val="004428C1"/>
    <w:rsid w:val="00443036"/>
    <w:rsid w:val="004439A6"/>
    <w:rsid w:val="004504E7"/>
    <w:rsid w:val="004516DA"/>
    <w:rsid w:val="00452BE1"/>
    <w:rsid w:val="00455ED3"/>
    <w:rsid w:val="00457259"/>
    <w:rsid w:val="00460F38"/>
    <w:rsid w:val="004661C3"/>
    <w:rsid w:val="0046708E"/>
    <w:rsid w:val="00467990"/>
    <w:rsid w:val="00473B8E"/>
    <w:rsid w:val="00475B36"/>
    <w:rsid w:val="004767D8"/>
    <w:rsid w:val="004770B9"/>
    <w:rsid w:val="004779D0"/>
    <w:rsid w:val="00480189"/>
    <w:rsid w:val="004809C1"/>
    <w:rsid w:val="0048326C"/>
    <w:rsid w:val="004863D9"/>
    <w:rsid w:val="00486DE7"/>
    <w:rsid w:val="004873DA"/>
    <w:rsid w:val="004903C4"/>
    <w:rsid w:val="0049470D"/>
    <w:rsid w:val="004A2EA5"/>
    <w:rsid w:val="004A4FB1"/>
    <w:rsid w:val="004B0F0D"/>
    <w:rsid w:val="004B1176"/>
    <w:rsid w:val="004B2352"/>
    <w:rsid w:val="004B4F14"/>
    <w:rsid w:val="004B5A35"/>
    <w:rsid w:val="004B6B5F"/>
    <w:rsid w:val="004C2FAE"/>
    <w:rsid w:val="004C357E"/>
    <w:rsid w:val="004C4250"/>
    <w:rsid w:val="004C680F"/>
    <w:rsid w:val="004C6C5D"/>
    <w:rsid w:val="004D0834"/>
    <w:rsid w:val="004D153F"/>
    <w:rsid w:val="004D2110"/>
    <w:rsid w:val="004D217D"/>
    <w:rsid w:val="004D365D"/>
    <w:rsid w:val="004D67AA"/>
    <w:rsid w:val="004E069A"/>
    <w:rsid w:val="004E26CC"/>
    <w:rsid w:val="004E4FF2"/>
    <w:rsid w:val="004E723F"/>
    <w:rsid w:val="004F046A"/>
    <w:rsid w:val="004F2278"/>
    <w:rsid w:val="004F2DF8"/>
    <w:rsid w:val="004F30C2"/>
    <w:rsid w:val="004F3E73"/>
    <w:rsid w:val="004F6D39"/>
    <w:rsid w:val="005003F8"/>
    <w:rsid w:val="00502234"/>
    <w:rsid w:val="005038ED"/>
    <w:rsid w:val="0050484F"/>
    <w:rsid w:val="00507C8B"/>
    <w:rsid w:val="005100FB"/>
    <w:rsid w:val="00515E62"/>
    <w:rsid w:val="00516803"/>
    <w:rsid w:val="00516C7F"/>
    <w:rsid w:val="005176AA"/>
    <w:rsid w:val="00517EDA"/>
    <w:rsid w:val="005219A3"/>
    <w:rsid w:val="00522035"/>
    <w:rsid w:val="0052297D"/>
    <w:rsid w:val="00522E64"/>
    <w:rsid w:val="00523965"/>
    <w:rsid w:val="00523D9D"/>
    <w:rsid w:val="00525FE7"/>
    <w:rsid w:val="0052687C"/>
    <w:rsid w:val="00526CB5"/>
    <w:rsid w:val="0053068A"/>
    <w:rsid w:val="00533C48"/>
    <w:rsid w:val="00534532"/>
    <w:rsid w:val="00536652"/>
    <w:rsid w:val="00537572"/>
    <w:rsid w:val="005415C3"/>
    <w:rsid w:val="00542A6D"/>
    <w:rsid w:val="00543E7C"/>
    <w:rsid w:val="00544057"/>
    <w:rsid w:val="00545D9D"/>
    <w:rsid w:val="005466D6"/>
    <w:rsid w:val="0054692E"/>
    <w:rsid w:val="005477BB"/>
    <w:rsid w:val="00551D1B"/>
    <w:rsid w:val="00551DF2"/>
    <w:rsid w:val="00553E3B"/>
    <w:rsid w:val="00555A91"/>
    <w:rsid w:val="00560F07"/>
    <w:rsid w:val="00560F4B"/>
    <w:rsid w:val="00562178"/>
    <w:rsid w:val="005643B1"/>
    <w:rsid w:val="00565056"/>
    <w:rsid w:val="005653CD"/>
    <w:rsid w:val="00566211"/>
    <w:rsid w:val="00566557"/>
    <w:rsid w:val="0057089D"/>
    <w:rsid w:val="00572F1A"/>
    <w:rsid w:val="00577435"/>
    <w:rsid w:val="00580692"/>
    <w:rsid w:val="00581215"/>
    <w:rsid w:val="005819AB"/>
    <w:rsid w:val="00581E88"/>
    <w:rsid w:val="00583463"/>
    <w:rsid w:val="005838AD"/>
    <w:rsid w:val="00585FC2"/>
    <w:rsid w:val="005935F6"/>
    <w:rsid w:val="00593610"/>
    <w:rsid w:val="005941E5"/>
    <w:rsid w:val="005A0C0F"/>
    <w:rsid w:val="005A1861"/>
    <w:rsid w:val="005A593B"/>
    <w:rsid w:val="005A5E82"/>
    <w:rsid w:val="005A6300"/>
    <w:rsid w:val="005A69C3"/>
    <w:rsid w:val="005A6EB0"/>
    <w:rsid w:val="005B1DBD"/>
    <w:rsid w:val="005B33A6"/>
    <w:rsid w:val="005B3FFA"/>
    <w:rsid w:val="005B5346"/>
    <w:rsid w:val="005B5641"/>
    <w:rsid w:val="005B6281"/>
    <w:rsid w:val="005C0E37"/>
    <w:rsid w:val="005C4021"/>
    <w:rsid w:val="005C4510"/>
    <w:rsid w:val="005D06BA"/>
    <w:rsid w:val="005D1137"/>
    <w:rsid w:val="005D437E"/>
    <w:rsid w:val="005D4853"/>
    <w:rsid w:val="005D5C9E"/>
    <w:rsid w:val="005E0280"/>
    <w:rsid w:val="005E2CC8"/>
    <w:rsid w:val="005E3670"/>
    <w:rsid w:val="005E36A8"/>
    <w:rsid w:val="005E4CEE"/>
    <w:rsid w:val="005E520A"/>
    <w:rsid w:val="005E6B7F"/>
    <w:rsid w:val="005F282F"/>
    <w:rsid w:val="005F3C2E"/>
    <w:rsid w:val="005F3EF4"/>
    <w:rsid w:val="00600777"/>
    <w:rsid w:val="00600CCC"/>
    <w:rsid w:val="00600EA9"/>
    <w:rsid w:val="00603CAD"/>
    <w:rsid w:val="00604F97"/>
    <w:rsid w:val="00605C47"/>
    <w:rsid w:val="00607F43"/>
    <w:rsid w:val="006107F4"/>
    <w:rsid w:val="0061199A"/>
    <w:rsid w:val="00611B52"/>
    <w:rsid w:val="0061238F"/>
    <w:rsid w:val="006135E0"/>
    <w:rsid w:val="00613F23"/>
    <w:rsid w:val="006167AC"/>
    <w:rsid w:val="00617BAF"/>
    <w:rsid w:val="006204B5"/>
    <w:rsid w:val="00621B2F"/>
    <w:rsid w:val="00621CF7"/>
    <w:rsid w:val="00622157"/>
    <w:rsid w:val="006237CB"/>
    <w:rsid w:val="00623CB3"/>
    <w:rsid w:val="00624847"/>
    <w:rsid w:val="00624DFE"/>
    <w:rsid w:val="00627F2A"/>
    <w:rsid w:val="00630099"/>
    <w:rsid w:val="006327DF"/>
    <w:rsid w:val="00633502"/>
    <w:rsid w:val="0063454A"/>
    <w:rsid w:val="0063473A"/>
    <w:rsid w:val="00634A89"/>
    <w:rsid w:val="0063629B"/>
    <w:rsid w:val="006363B3"/>
    <w:rsid w:val="00636FE1"/>
    <w:rsid w:val="006373FD"/>
    <w:rsid w:val="00642C1E"/>
    <w:rsid w:val="006433FE"/>
    <w:rsid w:val="006566B2"/>
    <w:rsid w:val="00656996"/>
    <w:rsid w:val="0066278C"/>
    <w:rsid w:val="00662D4E"/>
    <w:rsid w:val="00666E40"/>
    <w:rsid w:val="00667C03"/>
    <w:rsid w:val="00672381"/>
    <w:rsid w:val="00672C96"/>
    <w:rsid w:val="00674542"/>
    <w:rsid w:val="0067566F"/>
    <w:rsid w:val="006759B8"/>
    <w:rsid w:val="00677C13"/>
    <w:rsid w:val="00677EE2"/>
    <w:rsid w:val="00682CA2"/>
    <w:rsid w:val="0068596A"/>
    <w:rsid w:val="00685BB4"/>
    <w:rsid w:val="00686ADF"/>
    <w:rsid w:val="00686DAD"/>
    <w:rsid w:val="00686E1A"/>
    <w:rsid w:val="00687395"/>
    <w:rsid w:val="00687E3F"/>
    <w:rsid w:val="006905DF"/>
    <w:rsid w:val="00691CF3"/>
    <w:rsid w:val="00691F32"/>
    <w:rsid w:val="00692A2D"/>
    <w:rsid w:val="0069310C"/>
    <w:rsid w:val="00693A80"/>
    <w:rsid w:val="00694327"/>
    <w:rsid w:val="00695575"/>
    <w:rsid w:val="0069592E"/>
    <w:rsid w:val="006A1319"/>
    <w:rsid w:val="006A4B95"/>
    <w:rsid w:val="006A4F46"/>
    <w:rsid w:val="006A5365"/>
    <w:rsid w:val="006A5B35"/>
    <w:rsid w:val="006A5B6B"/>
    <w:rsid w:val="006A665B"/>
    <w:rsid w:val="006A7400"/>
    <w:rsid w:val="006B0991"/>
    <w:rsid w:val="006B10B7"/>
    <w:rsid w:val="006B1DE3"/>
    <w:rsid w:val="006B1EC7"/>
    <w:rsid w:val="006B2EA3"/>
    <w:rsid w:val="006B3804"/>
    <w:rsid w:val="006B4069"/>
    <w:rsid w:val="006B465A"/>
    <w:rsid w:val="006B4FDC"/>
    <w:rsid w:val="006B7590"/>
    <w:rsid w:val="006B79AD"/>
    <w:rsid w:val="006C4021"/>
    <w:rsid w:val="006D0017"/>
    <w:rsid w:val="006D0076"/>
    <w:rsid w:val="006D3CF8"/>
    <w:rsid w:val="006D4B93"/>
    <w:rsid w:val="006D5240"/>
    <w:rsid w:val="006D5CD1"/>
    <w:rsid w:val="006D7A34"/>
    <w:rsid w:val="006E059C"/>
    <w:rsid w:val="006E1257"/>
    <w:rsid w:val="006E14E1"/>
    <w:rsid w:val="006E2FE5"/>
    <w:rsid w:val="006E680E"/>
    <w:rsid w:val="006F0BF0"/>
    <w:rsid w:val="006F1F81"/>
    <w:rsid w:val="006F3879"/>
    <w:rsid w:val="006F7B39"/>
    <w:rsid w:val="006F7F0F"/>
    <w:rsid w:val="006F7F99"/>
    <w:rsid w:val="00702B4C"/>
    <w:rsid w:val="00703F34"/>
    <w:rsid w:val="0070581B"/>
    <w:rsid w:val="007079F8"/>
    <w:rsid w:val="007152DE"/>
    <w:rsid w:val="00716303"/>
    <w:rsid w:val="00716F32"/>
    <w:rsid w:val="00720011"/>
    <w:rsid w:val="0072080B"/>
    <w:rsid w:val="00721795"/>
    <w:rsid w:val="00722CDF"/>
    <w:rsid w:val="0073056A"/>
    <w:rsid w:val="007311EA"/>
    <w:rsid w:val="00731B3C"/>
    <w:rsid w:val="00734173"/>
    <w:rsid w:val="00734439"/>
    <w:rsid w:val="00734B21"/>
    <w:rsid w:val="007353E5"/>
    <w:rsid w:val="00736827"/>
    <w:rsid w:val="00737ADA"/>
    <w:rsid w:val="00742FB3"/>
    <w:rsid w:val="00747422"/>
    <w:rsid w:val="00747A48"/>
    <w:rsid w:val="0075103F"/>
    <w:rsid w:val="00753EFC"/>
    <w:rsid w:val="00755853"/>
    <w:rsid w:val="007564AF"/>
    <w:rsid w:val="00761697"/>
    <w:rsid w:val="00761E97"/>
    <w:rsid w:val="007648BA"/>
    <w:rsid w:val="00764AD7"/>
    <w:rsid w:val="00765912"/>
    <w:rsid w:val="00766E44"/>
    <w:rsid w:val="00767F0B"/>
    <w:rsid w:val="007706DF"/>
    <w:rsid w:val="00770967"/>
    <w:rsid w:val="00770C90"/>
    <w:rsid w:val="00770CB1"/>
    <w:rsid w:val="00771189"/>
    <w:rsid w:val="00771508"/>
    <w:rsid w:val="007715E4"/>
    <w:rsid w:val="00771EA8"/>
    <w:rsid w:val="007759D1"/>
    <w:rsid w:val="00776143"/>
    <w:rsid w:val="007763B6"/>
    <w:rsid w:val="0078007C"/>
    <w:rsid w:val="00780100"/>
    <w:rsid w:val="00782373"/>
    <w:rsid w:val="00783424"/>
    <w:rsid w:val="007845EB"/>
    <w:rsid w:val="007875D9"/>
    <w:rsid w:val="0078780E"/>
    <w:rsid w:val="00790C0D"/>
    <w:rsid w:val="00791218"/>
    <w:rsid w:val="007931C0"/>
    <w:rsid w:val="007933B1"/>
    <w:rsid w:val="007938CC"/>
    <w:rsid w:val="00793E52"/>
    <w:rsid w:val="00794BA9"/>
    <w:rsid w:val="007957B0"/>
    <w:rsid w:val="00795C2B"/>
    <w:rsid w:val="00797334"/>
    <w:rsid w:val="00797999"/>
    <w:rsid w:val="00797A05"/>
    <w:rsid w:val="007A04EB"/>
    <w:rsid w:val="007A25CF"/>
    <w:rsid w:val="007A3D61"/>
    <w:rsid w:val="007A4AAA"/>
    <w:rsid w:val="007A4F85"/>
    <w:rsid w:val="007A7B38"/>
    <w:rsid w:val="007A7DA7"/>
    <w:rsid w:val="007B19CE"/>
    <w:rsid w:val="007B3377"/>
    <w:rsid w:val="007C1544"/>
    <w:rsid w:val="007C2091"/>
    <w:rsid w:val="007C3E59"/>
    <w:rsid w:val="007C5717"/>
    <w:rsid w:val="007C57A5"/>
    <w:rsid w:val="007C6145"/>
    <w:rsid w:val="007C62CF"/>
    <w:rsid w:val="007D2F2A"/>
    <w:rsid w:val="007D2F39"/>
    <w:rsid w:val="007D3CD5"/>
    <w:rsid w:val="007D4B0E"/>
    <w:rsid w:val="007E063C"/>
    <w:rsid w:val="007E067A"/>
    <w:rsid w:val="007E1E41"/>
    <w:rsid w:val="007E2622"/>
    <w:rsid w:val="007E501B"/>
    <w:rsid w:val="007E58BD"/>
    <w:rsid w:val="007F101E"/>
    <w:rsid w:val="007F1102"/>
    <w:rsid w:val="007F3C6A"/>
    <w:rsid w:val="007F4AEF"/>
    <w:rsid w:val="007F543C"/>
    <w:rsid w:val="007F6D02"/>
    <w:rsid w:val="007F7367"/>
    <w:rsid w:val="0080011C"/>
    <w:rsid w:val="00800C09"/>
    <w:rsid w:val="00801360"/>
    <w:rsid w:val="00801FAF"/>
    <w:rsid w:val="00803157"/>
    <w:rsid w:val="008033FA"/>
    <w:rsid w:val="00803592"/>
    <w:rsid w:val="00803B9E"/>
    <w:rsid w:val="00804A6A"/>
    <w:rsid w:val="00805810"/>
    <w:rsid w:val="00805EA1"/>
    <w:rsid w:val="00811B57"/>
    <w:rsid w:val="008122F0"/>
    <w:rsid w:val="00814539"/>
    <w:rsid w:val="00814B00"/>
    <w:rsid w:val="00816D2B"/>
    <w:rsid w:val="00821782"/>
    <w:rsid w:val="00822379"/>
    <w:rsid w:val="00822D51"/>
    <w:rsid w:val="00824831"/>
    <w:rsid w:val="008268B1"/>
    <w:rsid w:val="00827067"/>
    <w:rsid w:val="008303CF"/>
    <w:rsid w:val="00831CBA"/>
    <w:rsid w:val="00833769"/>
    <w:rsid w:val="00833EE1"/>
    <w:rsid w:val="008341E4"/>
    <w:rsid w:val="00834CA5"/>
    <w:rsid w:val="00836098"/>
    <w:rsid w:val="00836673"/>
    <w:rsid w:val="00840A1D"/>
    <w:rsid w:val="008438C4"/>
    <w:rsid w:val="008450A9"/>
    <w:rsid w:val="008524F8"/>
    <w:rsid w:val="00854012"/>
    <w:rsid w:val="008547C3"/>
    <w:rsid w:val="00854BD7"/>
    <w:rsid w:val="00860575"/>
    <w:rsid w:val="00862E18"/>
    <w:rsid w:val="0086334E"/>
    <w:rsid w:val="0086359C"/>
    <w:rsid w:val="008702F0"/>
    <w:rsid w:val="00870402"/>
    <w:rsid w:val="00871D34"/>
    <w:rsid w:val="0087227F"/>
    <w:rsid w:val="0087254D"/>
    <w:rsid w:val="008727AF"/>
    <w:rsid w:val="00873C41"/>
    <w:rsid w:val="008763E3"/>
    <w:rsid w:val="00877209"/>
    <w:rsid w:val="008823B7"/>
    <w:rsid w:val="00883302"/>
    <w:rsid w:val="00890B7C"/>
    <w:rsid w:val="00891821"/>
    <w:rsid w:val="008A10F8"/>
    <w:rsid w:val="008A45C8"/>
    <w:rsid w:val="008A6CC5"/>
    <w:rsid w:val="008A74D0"/>
    <w:rsid w:val="008B121B"/>
    <w:rsid w:val="008B30F9"/>
    <w:rsid w:val="008B3483"/>
    <w:rsid w:val="008B472A"/>
    <w:rsid w:val="008B5D4D"/>
    <w:rsid w:val="008C0023"/>
    <w:rsid w:val="008C2D70"/>
    <w:rsid w:val="008C3A88"/>
    <w:rsid w:val="008C48D9"/>
    <w:rsid w:val="008C66BF"/>
    <w:rsid w:val="008C778E"/>
    <w:rsid w:val="008C7F22"/>
    <w:rsid w:val="008D0B07"/>
    <w:rsid w:val="008D216E"/>
    <w:rsid w:val="008D4C48"/>
    <w:rsid w:val="008D594D"/>
    <w:rsid w:val="008D5C8B"/>
    <w:rsid w:val="008D60D8"/>
    <w:rsid w:val="008E2ABA"/>
    <w:rsid w:val="008E2F7D"/>
    <w:rsid w:val="008E41A8"/>
    <w:rsid w:val="008E59B8"/>
    <w:rsid w:val="008E76D7"/>
    <w:rsid w:val="008F20AB"/>
    <w:rsid w:val="008F3F66"/>
    <w:rsid w:val="008F3F6B"/>
    <w:rsid w:val="008F5196"/>
    <w:rsid w:val="008F58B7"/>
    <w:rsid w:val="008F5ECA"/>
    <w:rsid w:val="008F6C6B"/>
    <w:rsid w:val="009006D7"/>
    <w:rsid w:val="00900B5E"/>
    <w:rsid w:val="009024FE"/>
    <w:rsid w:val="0090264C"/>
    <w:rsid w:val="00904C20"/>
    <w:rsid w:val="009058A4"/>
    <w:rsid w:val="00905AAD"/>
    <w:rsid w:val="009078CF"/>
    <w:rsid w:val="00912403"/>
    <w:rsid w:val="00912867"/>
    <w:rsid w:val="00912DB8"/>
    <w:rsid w:val="00913D4B"/>
    <w:rsid w:val="00913F41"/>
    <w:rsid w:val="0091403C"/>
    <w:rsid w:val="009159E9"/>
    <w:rsid w:val="009160C1"/>
    <w:rsid w:val="009173B1"/>
    <w:rsid w:val="00921A3D"/>
    <w:rsid w:val="00927E8E"/>
    <w:rsid w:val="00930C41"/>
    <w:rsid w:val="00932703"/>
    <w:rsid w:val="009342B1"/>
    <w:rsid w:val="00936156"/>
    <w:rsid w:val="009370CD"/>
    <w:rsid w:val="00941470"/>
    <w:rsid w:val="00941B34"/>
    <w:rsid w:val="009430D1"/>
    <w:rsid w:val="009446A2"/>
    <w:rsid w:val="009472D1"/>
    <w:rsid w:val="00951078"/>
    <w:rsid w:val="009522E8"/>
    <w:rsid w:val="00955242"/>
    <w:rsid w:val="009564AE"/>
    <w:rsid w:val="00956CEA"/>
    <w:rsid w:val="00960157"/>
    <w:rsid w:val="00960E6B"/>
    <w:rsid w:val="00962627"/>
    <w:rsid w:val="00962D88"/>
    <w:rsid w:val="00963BFC"/>
    <w:rsid w:val="00964168"/>
    <w:rsid w:val="00964234"/>
    <w:rsid w:val="0096466E"/>
    <w:rsid w:val="009655B2"/>
    <w:rsid w:val="00965C7C"/>
    <w:rsid w:val="00966A8D"/>
    <w:rsid w:val="00970B6A"/>
    <w:rsid w:val="0097150E"/>
    <w:rsid w:val="009802F1"/>
    <w:rsid w:val="00982572"/>
    <w:rsid w:val="0098375E"/>
    <w:rsid w:val="009841F0"/>
    <w:rsid w:val="00984B6B"/>
    <w:rsid w:val="00995F74"/>
    <w:rsid w:val="00996367"/>
    <w:rsid w:val="00996919"/>
    <w:rsid w:val="00996AA9"/>
    <w:rsid w:val="00996FF9"/>
    <w:rsid w:val="009972DA"/>
    <w:rsid w:val="009A06BF"/>
    <w:rsid w:val="009A0E9A"/>
    <w:rsid w:val="009A0F0C"/>
    <w:rsid w:val="009A199F"/>
    <w:rsid w:val="009A2B7E"/>
    <w:rsid w:val="009A4147"/>
    <w:rsid w:val="009A47EF"/>
    <w:rsid w:val="009A4EE8"/>
    <w:rsid w:val="009A605A"/>
    <w:rsid w:val="009A7596"/>
    <w:rsid w:val="009B23D5"/>
    <w:rsid w:val="009B24F4"/>
    <w:rsid w:val="009B36B9"/>
    <w:rsid w:val="009B49C2"/>
    <w:rsid w:val="009B50AD"/>
    <w:rsid w:val="009B758E"/>
    <w:rsid w:val="009B7822"/>
    <w:rsid w:val="009C0FD5"/>
    <w:rsid w:val="009C1E0D"/>
    <w:rsid w:val="009C4EDC"/>
    <w:rsid w:val="009C6084"/>
    <w:rsid w:val="009C6813"/>
    <w:rsid w:val="009C6FA8"/>
    <w:rsid w:val="009C7A90"/>
    <w:rsid w:val="009D0B22"/>
    <w:rsid w:val="009D3CCB"/>
    <w:rsid w:val="009D3F8C"/>
    <w:rsid w:val="009D4E5D"/>
    <w:rsid w:val="009E06D6"/>
    <w:rsid w:val="009E1606"/>
    <w:rsid w:val="009E2BC9"/>
    <w:rsid w:val="009E4FA3"/>
    <w:rsid w:val="009E5026"/>
    <w:rsid w:val="009E6E20"/>
    <w:rsid w:val="009F06AF"/>
    <w:rsid w:val="009F0D1A"/>
    <w:rsid w:val="009F21F3"/>
    <w:rsid w:val="009F3265"/>
    <w:rsid w:val="009F4147"/>
    <w:rsid w:val="009F526A"/>
    <w:rsid w:val="009F6A51"/>
    <w:rsid w:val="009F6FCC"/>
    <w:rsid w:val="00A010A1"/>
    <w:rsid w:val="00A026C5"/>
    <w:rsid w:val="00A02956"/>
    <w:rsid w:val="00A02C95"/>
    <w:rsid w:val="00A05111"/>
    <w:rsid w:val="00A05708"/>
    <w:rsid w:val="00A05C74"/>
    <w:rsid w:val="00A06811"/>
    <w:rsid w:val="00A079DE"/>
    <w:rsid w:val="00A12A5C"/>
    <w:rsid w:val="00A12AEB"/>
    <w:rsid w:val="00A12C3F"/>
    <w:rsid w:val="00A134EE"/>
    <w:rsid w:val="00A1377D"/>
    <w:rsid w:val="00A13A84"/>
    <w:rsid w:val="00A14039"/>
    <w:rsid w:val="00A140FF"/>
    <w:rsid w:val="00A160D8"/>
    <w:rsid w:val="00A16D86"/>
    <w:rsid w:val="00A1727B"/>
    <w:rsid w:val="00A178A6"/>
    <w:rsid w:val="00A17D35"/>
    <w:rsid w:val="00A21FEC"/>
    <w:rsid w:val="00A25A7E"/>
    <w:rsid w:val="00A26DB8"/>
    <w:rsid w:val="00A30A06"/>
    <w:rsid w:val="00A31A47"/>
    <w:rsid w:val="00A33BEF"/>
    <w:rsid w:val="00A34E1B"/>
    <w:rsid w:val="00A35111"/>
    <w:rsid w:val="00A3554D"/>
    <w:rsid w:val="00A36568"/>
    <w:rsid w:val="00A36A71"/>
    <w:rsid w:val="00A372B9"/>
    <w:rsid w:val="00A37D4D"/>
    <w:rsid w:val="00A4001A"/>
    <w:rsid w:val="00A40959"/>
    <w:rsid w:val="00A41C26"/>
    <w:rsid w:val="00A41C4E"/>
    <w:rsid w:val="00A44196"/>
    <w:rsid w:val="00A4498C"/>
    <w:rsid w:val="00A44DC1"/>
    <w:rsid w:val="00A45D15"/>
    <w:rsid w:val="00A503AF"/>
    <w:rsid w:val="00A50D20"/>
    <w:rsid w:val="00A5253A"/>
    <w:rsid w:val="00A550BD"/>
    <w:rsid w:val="00A55A9E"/>
    <w:rsid w:val="00A56272"/>
    <w:rsid w:val="00A56812"/>
    <w:rsid w:val="00A571D7"/>
    <w:rsid w:val="00A572C6"/>
    <w:rsid w:val="00A5787A"/>
    <w:rsid w:val="00A602D3"/>
    <w:rsid w:val="00A60739"/>
    <w:rsid w:val="00A6196F"/>
    <w:rsid w:val="00A61B68"/>
    <w:rsid w:val="00A63591"/>
    <w:rsid w:val="00A6593A"/>
    <w:rsid w:val="00A66849"/>
    <w:rsid w:val="00A7062A"/>
    <w:rsid w:val="00A70BBB"/>
    <w:rsid w:val="00A72C75"/>
    <w:rsid w:val="00A73567"/>
    <w:rsid w:val="00A74CDD"/>
    <w:rsid w:val="00A7575E"/>
    <w:rsid w:val="00A76455"/>
    <w:rsid w:val="00A76708"/>
    <w:rsid w:val="00A76A86"/>
    <w:rsid w:val="00A76E8A"/>
    <w:rsid w:val="00A77D1C"/>
    <w:rsid w:val="00A80CAD"/>
    <w:rsid w:val="00A80CB3"/>
    <w:rsid w:val="00A84ACA"/>
    <w:rsid w:val="00A853B8"/>
    <w:rsid w:val="00A85A0C"/>
    <w:rsid w:val="00A866BC"/>
    <w:rsid w:val="00A90DE4"/>
    <w:rsid w:val="00A91331"/>
    <w:rsid w:val="00A929F2"/>
    <w:rsid w:val="00AA1D14"/>
    <w:rsid w:val="00AA36FB"/>
    <w:rsid w:val="00AB2143"/>
    <w:rsid w:val="00AB437E"/>
    <w:rsid w:val="00AB6886"/>
    <w:rsid w:val="00AB6C3A"/>
    <w:rsid w:val="00AB7215"/>
    <w:rsid w:val="00AB775B"/>
    <w:rsid w:val="00AC0CD1"/>
    <w:rsid w:val="00AC2078"/>
    <w:rsid w:val="00AC7442"/>
    <w:rsid w:val="00AD0235"/>
    <w:rsid w:val="00AD3D5E"/>
    <w:rsid w:val="00AD3E43"/>
    <w:rsid w:val="00AD481F"/>
    <w:rsid w:val="00AD4FBF"/>
    <w:rsid w:val="00AD6387"/>
    <w:rsid w:val="00AD65FC"/>
    <w:rsid w:val="00AE04D1"/>
    <w:rsid w:val="00AE0642"/>
    <w:rsid w:val="00AE0748"/>
    <w:rsid w:val="00AE13EA"/>
    <w:rsid w:val="00AE1CAD"/>
    <w:rsid w:val="00AE5D80"/>
    <w:rsid w:val="00AE76FE"/>
    <w:rsid w:val="00AF1B89"/>
    <w:rsid w:val="00AF2D2F"/>
    <w:rsid w:val="00AF3178"/>
    <w:rsid w:val="00AF31A8"/>
    <w:rsid w:val="00AF4281"/>
    <w:rsid w:val="00AF58AC"/>
    <w:rsid w:val="00AF655B"/>
    <w:rsid w:val="00AF7BDB"/>
    <w:rsid w:val="00B00F07"/>
    <w:rsid w:val="00B00F50"/>
    <w:rsid w:val="00B06B88"/>
    <w:rsid w:val="00B101A6"/>
    <w:rsid w:val="00B12156"/>
    <w:rsid w:val="00B17056"/>
    <w:rsid w:val="00B20C95"/>
    <w:rsid w:val="00B219F3"/>
    <w:rsid w:val="00B31A8E"/>
    <w:rsid w:val="00B32A56"/>
    <w:rsid w:val="00B32E8D"/>
    <w:rsid w:val="00B34C8F"/>
    <w:rsid w:val="00B35725"/>
    <w:rsid w:val="00B35CDE"/>
    <w:rsid w:val="00B37A5C"/>
    <w:rsid w:val="00B4118E"/>
    <w:rsid w:val="00B41AD4"/>
    <w:rsid w:val="00B44E49"/>
    <w:rsid w:val="00B50556"/>
    <w:rsid w:val="00B52410"/>
    <w:rsid w:val="00B536AF"/>
    <w:rsid w:val="00B54BF9"/>
    <w:rsid w:val="00B5581E"/>
    <w:rsid w:val="00B60A7C"/>
    <w:rsid w:val="00B60DCA"/>
    <w:rsid w:val="00B60DF3"/>
    <w:rsid w:val="00B639E5"/>
    <w:rsid w:val="00B63AD9"/>
    <w:rsid w:val="00B642AF"/>
    <w:rsid w:val="00B649BD"/>
    <w:rsid w:val="00B67622"/>
    <w:rsid w:val="00B70903"/>
    <w:rsid w:val="00B70BB5"/>
    <w:rsid w:val="00B71D3A"/>
    <w:rsid w:val="00B7245C"/>
    <w:rsid w:val="00B72D2A"/>
    <w:rsid w:val="00B763A0"/>
    <w:rsid w:val="00B77B6F"/>
    <w:rsid w:val="00B819D3"/>
    <w:rsid w:val="00B82B98"/>
    <w:rsid w:val="00B83D2C"/>
    <w:rsid w:val="00B847AF"/>
    <w:rsid w:val="00B8526D"/>
    <w:rsid w:val="00B90851"/>
    <w:rsid w:val="00B91AD3"/>
    <w:rsid w:val="00B93898"/>
    <w:rsid w:val="00B960DC"/>
    <w:rsid w:val="00BA40D5"/>
    <w:rsid w:val="00BA7AB8"/>
    <w:rsid w:val="00BB01D3"/>
    <w:rsid w:val="00BB21B2"/>
    <w:rsid w:val="00BB32D2"/>
    <w:rsid w:val="00BB3B03"/>
    <w:rsid w:val="00BB4B2B"/>
    <w:rsid w:val="00BB4CE3"/>
    <w:rsid w:val="00BB72C9"/>
    <w:rsid w:val="00BC20B2"/>
    <w:rsid w:val="00BC36D7"/>
    <w:rsid w:val="00BC39EA"/>
    <w:rsid w:val="00BC4159"/>
    <w:rsid w:val="00BC5D09"/>
    <w:rsid w:val="00BC6ADA"/>
    <w:rsid w:val="00BC758C"/>
    <w:rsid w:val="00BC76E5"/>
    <w:rsid w:val="00BD10D2"/>
    <w:rsid w:val="00BD26E0"/>
    <w:rsid w:val="00BD392E"/>
    <w:rsid w:val="00BD56A7"/>
    <w:rsid w:val="00BE0F69"/>
    <w:rsid w:val="00BE10E5"/>
    <w:rsid w:val="00BE287E"/>
    <w:rsid w:val="00BE4D80"/>
    <w:rsid w:val="00BE6883"/>
    <w:rsid w:val="00BE6B9F"/>
    <w:rsid w:val="00BF0F2E"/>
    <w:rsid w:val="00BF3C6B"/>
    <w:rsid w:val="00BF4218"/>
    <w:rsid w:val="00BF4DFB"/>
    <w:rsid w:val="00BF662F"/>
    <w:rsid w:val="00BF6803"/>
    <w:rsid w:val="00C00CBA"/>
    <w:rsid w:val="00C010C7"/>
    <w:rsid w:val="00C0421B"/>
    <w:rsid w:val="00C06181"/>
    <w:rsid w:val="00C06546"/>
    <w:rsid w:val="00C06C48"/>
    <w:rsid w:val="00C07FB2"/>
    <w:rsid w:val="00C109A1"/>
    <w:rsid w:val="00C11229"/>
    <w:rsid w:val="00C131D2"/>
    <w:rsid w:val="00C14043"/>
    <w:rsid w:val="00C14702"/>
    <w:rsid w:val="00C1644B"/>
    <w:rsid w:val="00C20894"/>
    <w:rsid w:val="00C21CCD"/>
    <w:rsid w:val="00C24F32"/>
    <w:rsid w:val="00C26C5E"/>
    <w:rsid w:val="00C349B4"/>
    <w:rsid w:val="00C37148"/>
    <w:rsid w:val="00C4198A"/>
    <w:rsid w:val="00C41994"/>
    <w:rsid w:val="00C4215D"/>
    <w:rsid w:val="00C447AB"/>
    <w:rsid w:val="00C472E1"/>
    <w:rsid w:val="00C51382"/>
    <w:rsid w:val="00C51982"/>
    <w:rsid w:val="00C5265A"/>
    <w:rsid w:val="00C5532A"/>
    <w:rsid w:val="00C60730"/>
    <w:rsid w:val="00C61470"/>
    <w:rsid w:val="00C62A02"/>
    <w:rsid w:val="00C6655A"/>
    <w:rsid w:val="00C6730E"/>
    <w:rsid w:val="00C674DD"/>
    <w:rsid w:val="00C71DDD"/>
    <w:rsid w:val="00C723D0"/>
    <w:rsid w:val="00C73025"/>
    <w:rsid w:val="00C735B1"/>
    <w:rsid w:val="00C736F8"/>
    <w:rsid w:val="00C739E8"/>
    <w:rsid w:val="00C76849"/>
    <w:rsid w:val="00C779B2"/>
    <w:rsid w:val="00C815C4"/>
    <w:rsid w:val="00C823D7"/>
    <w:rsid w:val="00C82D43"/>
    <w:rsid w:val="00C83C1B"/>
    <w:rsid w:val="00C848D8"/>
    <w:rsid w:val="00C8566E"/>
    <w:rsid w:val="00C879E1"/>
    <w:rsid w:val="00C93EC8"/>
    <w:rsid w:val="00C97FB9"/>
    <w:rsid w:val="00CA08AE"/>
    <w:rsid w:val="00CA25F2"/>
    <w:rsid w:val="00CA2CAC"/>
    <w:rsid w:val="00CA4B78"/>
    <w:rsid w:val="00CA4BBA"/>
    <w:rsid w:val="00CB20B2"/>
    <w:rsid w:val="00CB2991"/>
    <w:rsid w:val="00CB31D0"/>
    <w:rsid w:val="00CB323F"/>
    <w:rsid w:val="00CB4D24"/>
    <w:rsid w:val="00CB593F"/>
    <w:rsid w:val="00CB61B1"/>
    <w:rsid w:val="00CB65F1"/>
    <w:rsid w:val="00CB7762"/>
    <w:rsid w:val="00CC0FC5"/>
    <w:rsid w:val="00CC29A0"/>
    <w:rsid w:val="00CC52CE"/>
    <w:rsid w:val="00CC55B1"/>
    <w:rsid w:val="00CC6CE6"/>
    <w:rsid w:val="00CD147F"/>
    <w:rsid w:val="00CD2EC6"/>
    <w:rsid w:val="00CD32F9"/>
    <w:rsid w:val="00CD36C5"/>
    <w:rsid w:val="00CD5CFA"/>
    <w:rsid w:val="00CE1343"/>
    <w:rsid w:val="00CE1453"/>
    <w:rsid w:val="00CE1FE6"/>
    <w:rsid w:val="00CE3DDE"/>
    <w:rsid w:val="00CE4760"/>
    <w:rsid w:val="00CF09CA"/>
    <w:rsid w:val="00CF0C17"/>
    <w:rsid w:val="00CF1454"/>
    <w:rsid w:val="00CF4376"/>
    <w:rsid w:val="00CF46A6"/>
    <w:rsid w:val="00CF4C2F"/>
    <w:rsid w:val="00CF4D49"/>
    <w:rsid w:val="00CF4F44"/>
    <w:rsid w:val="00CF5AEF"/>
    <w:rsid w:val="00CF5B47"/>
    <w:rsid w:val="00D00B48"/>
    <w:rsid w:val="00D0146A"/>
    <w:rsid w:val="00D02A1E"/>
    <w:rsid w:val="00D04F40"/>
    <w:rsid w:val="00D07594"/>
    <w:rsid w:val="00D07959"/>
    <w:rsid w:val="00D10D9C"/>
    <w:rsid w:val="00D10DF3"/>
    <w:rsid w:val="00D1100F"/>
    <w:rsid w:val="00D156B8"/>
    <w:rsid w:val="00D1624F"/>
    <w:rsid w:val="00D20007"/>
    <w:rsid w:val="00D23A20"/>
    <w:rsid w:val="00D2643B"/>
    <w:rsid w:val="00D31874"/>
    <w:rsid w:val="00D324F7"/>
    <w:rsid w:val="00D3362A"/>
    <w:rsid w:val="00D34AD4"/>
    <w:rsid w:val="00D37031"/>
    <w:rsid w:val="00D371A4"/>
    <w:rsid w:val="00D37A80"/>
    <w:rsid w:val="00D40E06"/>
    <w:rsid w:val="00D40EFF"/>
    <w:rsid w:val="00D41FD4"/>
    <w:rsid w:val="00D43DDE"/>
    <w:rsid w:val="00D44708"/>
    <w:rsid w:val="00D4527D"/>
    <w:rsid w:val="00D45A7A"/>
    <w:rsid w:val="00D511DE"/>
    <w:rsid w:val="00D542C8"/>
    <w:rsid w:val="00D550FE"/>
    <w:rsid w:val="00D56CB1"/>
    <w:rsid w:val="00D57302"/>
    <w:rsid w:val="00D60837"/>
    <w:rsid w:val="00D62FB8"/>
    <w:rsid w:val="00D63473"/>
    <w:rsid w:val="00D644F8"/>
    <w:rsid w:val="00D71174"/>
    <w:rsid w:val="00D717C1"/>
    <w:rsid w:val="00D71A93"/>
    <w:rsid w:val="00D743DC"/>
    <w:rsid w:val="00D76EB0"/>
    <w:rsid w:val="00D80EF8"/>
    <w:rsid w:val="00D828B7"/>
    <w:rsid w:val="00D82918"/>
    <w:rsid w:val="00D82FED"/>
    <w:rsid w:val="00D8349F"/>
    <w:rsid w:val="00D84A53"/>
    <w:rsid w:val="00D857A2"/>
    <w:rsid w:val="00D86346"/>
    <w:rsid w:val="00D917AE"/>
    <w:rsid w:val="00D93E31"/>
    <w:rsid w:val="00D94D0B"/>
    <w:rsid w:val="00DA028E"/>
    <w:rsid w:val="00DA0DCD"/>
    <w:rsid w:val="00DA11AF"/>
    <w:rsid w:val="00DA5E3D"/>
    <w:rsid w:val="00DA63D0"/>
    <w:rsid w:val="00DA672B"/>
    <w:rsid w:val="00DB0E50"/>
    <w:rsid w:val="00DB1208"/>
    <w:rsid w:val="00DB2FA8"/>
    <w:rsid w:val="00DB2FD6"/>
    <w:rsid w:val="00DB53D5"/>
    <w:rsid w:val="00DB5D75"/>
    <w:rsid w:val="00DC0030"/>
    <w:rsid w:val="00DC1275"/>
    <w:rsid w:val="00DC1E9A"/>
    <w:rsid w:val="00DC3995"/>
    <w:rsid w:val="00DD3D45"/>
    <w:rsid w:val="00DD544D"/>
    <w:rsid w:val="00DD55BC"/>
    <w:rsid w:val="00DD5D4E"/>
    <w:rsid w:val="00DE0EEF"/>
    <w:rsid w:val="00DE58A1"/>
    <w:rsid w:val="00DF17DA"/>
    <w:rsid w:val="00E00C05"/>
    <w:rsid w:val="00E02924"/>
    <w:rsid w:val="00E03319"/>
    <w:rsid w:val="00E043DE"/>
    <w:rsid w:val="00E0541C"/>
    <w:rsid w:val="00E056F1"/>
    <w:rsid w:val="00E05F27"/>
    <w:rsid w:val="00E073BF"/>
    <w:rsid w:val="00E07954"/>
    <w:rsid w:val="00E1058D"/>
    <w:rsid w:val="00E11D8A"/>
    <w:rsid w:val="00E13D91"/>
    <w:rsid w:val="00E17AB4"/>
    <w:rsid w:val="00E22DB0"/>
    <w:rsid w:val="00E268E9"/>
    <w:rsid w:val="00E27D39"/>
    <w:rsid w:val="00E30D4A"/>
    <w:rsid w:val="00E30F06"/>
    <w:rsid w:val="00E31347"/>
    <w:rsid w:val="00E3274C"/>
    <w:rsid w:val="00E3436A"/>
    <w:rsid w:val="00E34447"/>
    <w:rsid w:val="00E34A60"/>
    <w:rsid w:val="00E365C9"/>
    <w:rsid w:val="00E36D61"/>
    <w:rsid w:val="00E402C5"/>
    <w:rsid w:val="00E4039B"/>
    <w:rsid w:val="00E40531"/>
    <w:rsid w:val="00E4243B"/>
    <w:rsid w:val="00E425E2"/>
    <w:rsid w:val="00E444A3"/>
    <w:rsid w:val="00E4549A"/>
    <w:rsid w:val="00E45B5B"/>
    <w:rsid w:val="00E472F6"/>
    <w:rsid w:val="00E475C3"/>
    <w:rsid w:val="00E525AE"/>
    <w:rsid w:val="00E53EF9"/>
    <w:rsid w:val="00E55EF0"/>
    <w:rsid w:val="00E56321"/>
    <w:rsid w:val="00E56659"/>
    <w:rsid w:val="00E57824"/>
    <w:rsid w:val="00E57895"/>
    <w:rsid w:val="00E60CEE"/>
    <w:rsid w:val="00E64596"/>
    <w:rsid w:val="00E647CC"/>
    <w:rsid w:val="00E648F7"/>
    <w:rsid w:val="00E66360"/>
    <w:rsid w:val="00E71729"/>
    <w:rsid w:val="00E74520"/>
    <w:rsid w:val="00E74AD0"/>
    <w:rsid w:val="00E75B9E"/>
    <w:rsid w:val="00E802F0"/>
    <w:rsid w:val="00E8327F"/>
    <w:rsid w:val="00E84079"/>
    <w:rsid w:val="00E848BD"/>
    <w:rsid w:val="00E854EB"/>
    <w:rsid w:val="00E85C74"/>
    <w:rsid w:val="00E85EAF"/>
    <w:rsid w:val="00E862BE"/>
    <w:rsid w:val="00E87A66"/>
    <w:rsid w:val="00E90482"/>
    <w:rsid w:val="00E91346"/>
    <w:rsid w:val="00E94A2D"/>
    <w:rsid w:val="00E97E66"/>
    <w:rsid w:val="00EA1CB9"/>
    <w:rsid w:val="00EA28D5"/>
    <w:rsid w:val="00EA50D1"/>
    <w:rsid w:val="00EA6D12"/>
    <w:rsid w:val="00EB1253"/>
    <w:rsid w:val="00EB522A"/>
    <w:rsid w:val="00EB5885"/>
    <w:rsid w:val="00EB687C"/>
    <w:rsid w:val="00EB7FF1"/>
    <w:rsid w:val="00EC0818"/>
    <w:rsid w:val="00EC0F56"/>
    <w:rsid w:val="00EC17B2"/>
    <w:rsid w:val="00EC20D0"/>
    <w:rsid w:val="00EC2CC6"/>
    <w:rsid w:val="00EC35BA"/>
    <w:rsid w:val="00EC3E98"/>
    <w:rsid w:val="00EC6040"/>
    <w:rsid w:val="00EC6EA8"/>
    <w:rsid w:val="00EC74EF"/>
    <w:rsid w:val="00EC781C"/>
    <w:rsid w:val="00ED26A5"/>
    <w:rsid w:val="00ED3A48"/>
    <w:rsid w:val="00ED40FF"/>
    <w:rsid w:val="00ED4DAC"/>
    <w:rsid w:val="00ED5188"/>
    <w:rsid w:val="00ED62C6"/>
    <w:rsid w:val="00ED790F"/>
    <w:rsid w:val="00ED7E19"/>
    <w:rsid w:val="00EE0609"/>
    <w:rsid w:val="00EE35A6"/>
    <w:rsid w:val="00EE4871"/>
    <w:rsid w:val="00EF0574"/>
    <w:rsid w:val="00EF2760"/>
    <w:rsid w:val="00EF379A"/>
    <w:rsid w:val="00EF4E75"/>
    <w:rsid w:val="00EF6DDB"/>
    <w:rsid w:val="00F00817"/>
    <w:rsid w:val="00F01C26"/>
    <w:rsid w:val="00F01FA2"/>
    <w:rsid w:val="00F04CF5"/>
    <w:rsid w:val="00F053C1"/>
    <w:rsid w:val="00F06A7C"/>
    <w:rsid w:val="00F072E0"/>
    <w:rsid w:val="00F07A90"/>
    <w:rsid w:val="00F109C5"/>
    <w:rsid w:val="00F10EBC"/>
    <w:rsid w:val="00F1537F"/>
    <w:rsid w:val="00F15A34"/>
    <w:rsid w:val="00F15D66"/>
    <w:rsid w:val="00F176C9"/>
    <w:rsid w:val="00F217AC"/>
    <w:rsid w:val="00F22CC5"/>
    <w:rsid w:val="00F23544"/>
    <w:rsid w:val="00F27C50"/>
    <w:rsid w:val="00F32314"/>
    <w:rsid w:val="00F32672"/>
    <w:rsid w:val="00F32B70"/>
    <w:rsid w:val="00F33EDC"/>
    <w:rsid w:val="00F33F48"/>
    <w:rsid w:val="00F349D2"/>
    <w:rsid w:val="00F355F8"/>
    <w:rsid w:val="00F36F8E"/>
    <w:rsid w:val="00F37CF2"/>
    <w:rsid w:val="00F40DB0"/>
    <w:rsid w:val="00F41046"/>
    <w:rsid w:val="00F411FF"/>
    <w:rsid w:val="00F41EF1"/>
    <w:rsid w:val="00F42208"/>
    <w:rsid w:val="00F430D1"/>
    <w:rsid w:val="00F44325"/>
    <w:rsid w:val="00F45F11"/>
    <w:rsid w:val="00F45FC9"/>
    <w:rsid w:val="00F50544"/>
    <w:rsid w:val="00F516CE"/>
    <w:rsid w:val="00F51CC6"/>
    <w:rsid w:val="00F5310E"/>
    <w:rsid w:val="00F53367"/>
    <w:rsid w:val="00F5339E"/>
    <w:rsid w:val="00F55D38"/>
    <w:rsid w:val="00F55D99"/>
    <w:rsid w:val="00F62709"/>
    <w:rsid w:val="00F62E5D"/>
    <w:rsid w:val="00F62F98"/>
    <w:rsid w:val="00F63726"/>
    <w:rsid w:val="00F63929"/>
    <w:rsid w:val="00F73560"/>
    <w:rsid w:val="00F739A0"/>
    <w:rsid w:val="00F7420A"/>
    <w:rsid w:val="00F746B0"/>
    <w:rsid w:val="00F755F6"/>
    <w:rsid w:val="00F75BA7"/>
    <w:rsid w:val="00F774E9"/>
    <w:rsid w:val="00F8231C"/>
    <w:rsid w:val="00F82DEF"/>
    <w:rsid w:val="00F943D8"/>
    <w:rsid w:val="00F95549"/>
    <w:rsid w:val="00F95EFF"/>
    <w:rsid w:val="00F97C9F"/>
    <w:rsid w:val="00FA18ED"/>
    <w:rsid w:val="00FA24E5"/>
    <w:rsid w:val="00FA54A0"/>
    <w:rsid w:val="00FA5BE8"/>
    <w:rsid w:val="00FA7B58"/>
    <w:rsid w:val="00FB14A9"/>
    <w:rsid w:val="00FB188D"/>
    <w:rsid w:val="00FB1A1E"/>
    <w:rsid w:val="00FB255E"/>
    <w:rsid w:val="00FB26EE"/>
    <w:rsid w:val="00FB302D"/>
    <w:rsid w:val="00FB33FB"/>
    <w:rsid w:val="00FB353E"/>
    <w:rsid w:val="00FB5618"/>
    <w:rsid w:val="00FB6579"/>
    <w:rsid w:val="00FB6E05"/>
    <w:rsid w:val="00FC079C"/>
    <w:rsid w:val="00FC0B3C"/>
    <w:rsid w:val="00FC168C"/>
    <w:rsid w:val="00FC2C98"/>
    <w:rsid w:val="00FC3EDA"/>
    <w:rsid w:val="00FC54CF"/>
    <w:rsid w:val="00FD0891"/>
    <w:rsid w:val="00FD0924"/>
    <w:rsid w:val="00FD1D3C"/>
    <w:rsid w:val="00FD27A8"/>
    <w:rsid w:val="00FD3385"/>
    <w:rsid w:val="00FD4507"/>
    <w:rsid w:val="00FD4571"/>
    <w:rsid w:val="00FD5530"/>
    <w:rsid w:val="00FD5738"/>
    <w:rsid w:val="00FE1120"/>
    <w:rsid w:val="00FE1A95"/>
    <w:rsid w:val="00FE2A70"/>
    <w:rsid w:val="00FE40DE"/>
    <w:rsid w:val="00FE59E2"/>
    <w:rsid w:val="00FE60FC"/>
    <w:rsid w:val="00FE67DD"/>
    <w:rsid w:val="00FF57B2"/>
    <w:rsid w:val="00FF79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6CE04A67"/>
  <w14:defaultImageDpi w14:val="0"/>
  <w15:docId w15:val="{4BE0E1B4-E8C3-4837-9E2D-B8E60615E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0B2"/>
    <w:pPr>
      <w:spacing w:after="200" w:line="276" w:lineRule="auto"/>
    </w:pPr>
    <w:rPr>
      <w:rFonts w:ascii="Verdana" w:hAnsi="Verdana" w:cs="Times New Roman"/>
      <w:sz w:val="22"/>
      <w:szCs w:val="22"/>
      <w:lang w:eastAsia="en-US"/>
    </w:rPr>
  </w:style>
  <w:style w:type="paragraph" w:styleId="Heading1">
    <w:name w:val="heading 1"/>
    <w:basedOn w:val="Normal"/>
    <w:next w:val="Normal"/>
    <w:link w:val="Heading1Char"/>
    <w:uiPriority w:val="9"/>
    <w:qFormat/>
    <w:rsid w:val="00374A41"/>
    <w:pPr>
      <w:keepNext/>
      <w:keepLines/>
      <w:spacing w:before="480" w:after="0"/>
      <w:outlineLvl w:val="0"/>
    </w:pPr>
    <w:rPr>
      <w:b/>
      <w:bCs/>
      <w:color w:val="365F91"/>
      <w:sz w:val="36"/>
      <w:szCs w:val="28"/>
    </w:rPr>
  </w:style>
  <w:style w:type="paragraph" w:styleId="Heading2">
    <w:name w:val="heading 2"/>
    <w:basedOn w:val="Normal"/>
    <w:next w:val="Normal"/>
    <w:link w:val="Heading2Char"/>
    <w:uiPriority w:val="9"/>
    <w:unhideWhenUsed/>
    <w:qFormat/>
    <w:rsid w:val="00D2643B"/>
    <w:pPr>
      <w:keepNext/>
      <w:keepLines/>
      <w:spacing w:before="200" w:after="0"/>
      <w:outlineLvl w:val="1"/>
    </w:pPr>
    <w:rPr>
      <w:b/>
      <w:bCs/>
      <w:color w:val="4F81BD"/>
      <w:sz w:val="26"/>
      <w:szCs w:val="26"/>
    </w:rPr>
  </w:style>
  <w:style w:type="paragraph" w:styleId="Heading3">
    <w:name w:val="heading 3"/>
    <w:basedOn w:val="Normal"/>
    <w:next w:val="Normal"/>
    <w:link w:val="Heading3Char"/>
    <w:uiPriority w:val="9"/>
    <w:unhideWhenUsed/>
    <w:qFormat/>
    <w:rsid w:val="00D2643B"/>
    <w:pPr>
      <w:keepNext/>
      <w:keepLines/>
      <w:spacing w:before="200" w:after="0"/>
      <w:outlineLvl w:val="2"/>
    </w:pPr>
    <w:rPr>
      <w:b/>
      <w:bCs/>
      <w:color w:val="4F81BD"/>
    </w:rPr>
  </w:style>
  <w:style w:type="paragraph" w:styleId="Heading4">
    <w:name w:val="heading 4"/>
    <w:basedOn w:val="Normal"/>
    <w:next w:val="Normal"/>
    <w:link w:val="Heading4Char"/>
    <w:uiPriority w:val="9"/>
    <w:unhideWhenUsed/>
    <w:qFormat/>
    <w:rsid w:val="00D2643B"/>
    <w:pPr>
      <w:keepNext/>
      <w:keepLines/>
      <w:spacing w:before="200" w:after="0"/>
      <w:outlineLvl w:val="3"/>
    </w:pPr>
    <w:rPr>
      <w:b/>
      <w:bCs/>
      <w:i/>
      <w:iCs/>
      <w:color w:val="4F81BD"/>
    </w:rPr>
  </w:style>
  <w:style w:type="paragraph" w:styleId="Heading5">
    <w:name w:val="heading 5"/>
    <w:basedOn w:val="Normal"/>
    <w:next w:val="Normal"/>
    <w:link w:val="Heading5Char"/>
    <w:uiPriority w:val="9"/>
    <w:semiHidden/>
    <w:unhideWhenUsed/>
    <w:qFormat/>
    <w:rsid w:val="00D2643B"/>
    <w:pPr>
      <w:keepNext/>
      <w:keepLines/>
      <w:spacing w:before="200" w:after="0"/>
      <w:outlineLvl w:val="4"/>
    </w:pPr>
    <w:rPr>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374A41"/>
    <w:rPr>
      <w:rFonts w:ascii="Verdana" w:hAnsi="Verdana" w:cs="Times New Roman"/>
      <w:b/>
      <w:bCs/>
      <w:color w:val="365F91"/>
      <w:sz w:val="36"/>
      <w:szCs w:val="28"/>
      <w:lang w:eastAsia="en-US"/>
    </w:rPr>
  </w:style>
  <w:style w:type="character" w:customStyle="1" w:styleId="Heading2Char">
    <w:name w:val="Heading 2 Char"/>
    <w:link w:val="Heading2"/>
    <w:uiPriority w:val="9"/>
    <w:locked/>
    <w:rsid w:val="00D2643B"/>
    <w:rPr>
      <w:rFonts w:ascii="Verdana" w:hAnsi="Verdana" w:cs="Times New Roman"/>
      <w:b/>
      <w:color w:val="4F81BD"/>
      <w:sz w:val="26"/>
    </w:rPr>
  </w:style>
  <w:style w:type="character" w:customStyle="1" w:styleId="Heading3Char">
    <w:name w:val="Heading 3 Char"/>
    <w:link w:val="Heading3"/>
    <w:uiPriority w:val="9"/>
    <w:locked/>
    <w:rsid w:val="00D2643B"/>
    <w:rPr>
      <w:rFonts w:ascii="Verdana" w:hAnsi="Verdana" w:cs="Times New Roman"/>
      <w:b/>
      <w:color w:val="4F81BD"/>
    </w:rPr>
  </w:style>
  <w:style w:type="character" w:customStyle="1" w:styleId="Heading4Char">
    <w:name w:val="Heading 4 Char"/>
    <w:link w:val="Heading4"/>
    <w:uiPriority w:val="9"/>
    <w:locked/>
    <w:rsid w:val="00D2643B"/>
    <w:rPr>
      <w:rFonts w:ascii="Verdana" w:hAnsi="Verdana" w:cs="Times New Roman"/>
      <w:b/>
      <w:i/>
      <w:color w:val="4F81BD"/>
    </w:rPr>
  </w:style>
  <w:style w:type="character" w:customStyle="1" w:styleId="Heading5Char">
    <w:name w:val="Heading 5 Char"/>
    <w:link w:val="Heading5"/>
    <w:uiPriority w:val="9"/>
    <w:semiHidden/>
    <w:locked/>
    <w:rsid w:val="00D2643B"/>
    <w:rPr>
      <w:rFonts w:ascii="Verdana" w:hAnsi="Verdana" w:cs="Times New Roman"/>
      <w:color w:val="243F60"/>
    </w:rPr>
  </w:style>
  <w:style w:type="character" w:styleId="Hyperlink">
    <w:name w:val="Hyperlink"/>
    <w:uiPriority w:val="99"/>
    <w:unhideWhenUsed/>
    <w:rsid w:val="00581215"/>
    <w:rPr>
      <w:rFonts w:cs="Times New Roman"/>
      <w:color w:val="4C83C4"/>
      <w:u w:val="none"/>
      <w:effect w:val="none"/>
    </w:rPr>
  </w:style>
  <w:style w:type="paragraph" w:styleId="ListParagraph">
    <w:name w:val="List Paragraph"/>
    <w:basedOn w:val="Normal"/>
    <w:link w:val="ListParagraphChar"/>
    <w:uiPriority w:val="34"/>
    <w:qFormat/>
    <w:rsid w:val="00581215"/>
    <w:pPr>
      <w:ind w:left="720"/>
      <w:contextualSpacing/>
    </w:pPr>
  </w:style>
  <w:style w:type="paragraph" w:styleId="FootnoteText">
    <w:name w:val="footnote text"/>
    <w:basedOn w:val="Normal"/>
    <w:link w:val="FootnoteTextChar"/>
    <w:uiPriority w:val="99"/>
    <w:unhideWhenUsed/>
    <w:rsid w:val="00581215"/>
    <w:pPr>
      <w:spacing w:after="0" w:line="240" w:lineRule="auto"/>
    </w:pPr>
    <w:rPr>
      <w:sz w:val="20"/>
      <w:szCs w:val="20"/>
    </w:rPr>
  </w:style>
  <w:style w:type="character" w:customStyle="1" w:styleId="FootnoteTextChar">
    <w:name w:val="Footnote Text Char"/>
    <w:link w:val="FootnoteText"/>
    <w:uiPriority w:val="99"/>
    <w:locked/>
    <w:rsid w:val="00581215"/>
    <w:rPr>
      <w:rFonts w:cs="Times New Roman"/>
      <w:sz w:val="20"/>
    </w:rPr>
  </w:style>
  <w:style w:type="character" w:styleId="FootnoteReference">
    <w:name w:val="footnote reference"/>
    <w:uiPriority w:val="99"/>
    <w:unhideWhenUsed/>
    <w:rsid w:val="00581215"/>
    <w:rPr>
      <w:rFonts w:cs="Times New Roman"/>
      <w:vertAlign w:val="superscript"/>
    </w:rPr>
  </w:style>
  <w:style w:type="paragraph" w:styleId="BalloonText">
    <w:name w:val="Balloon Text"/>
    <w:basedOn w:val="Normal"/>
    <w:link w:val="BalloonTextChar"/>
    <w:uiPriority w:val="99"/>
    <w:semiHidden/>
    <w:unhideWhenUsed/>
    <w:rsid w:val="00A372B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372B9"/>
    <w:rPr>
      <w:rFonts w:ascii="Tahoma" w:hAnsi="Tahoma" w:cs="Times New Roman"/>
      <w:sz w:val="16"/>
    </w:rPr>
  </w:style>
  <w:style w:type="paragraph" w:styleId="Caption">
    <w:name w:val="caption"/>
    <w:basedOn w:val="Normal"/>
    <w:next w:val="Normal"/>
    <w:uiPriority w:val="35"/>
    <w:unhideWhenUsed/>
    <w:qFormat/>
    <w:rsid w:val="00166199"/>
    <w:pPr>
      <w:spacing w:line="240" w:lineRule="auto"/>
    </w:pPr>
    <w:rPr>
      <w:b/>
      <w:bCs/>
      <w:color w:val="4F81BD"/>
      <w:sz w:val="18"/>
      <w:szCs w:val="18"/>
    </w:rPr>
  </w:style>
  <w:style w:type="paragraph" w:styleId="TOCHeading">
    <w:name w:val="TOC Heading"/>
    <w:basedOn w:val="Heading1"/>
    <w:next w:val="Normal"/>
    <w:uiPriority w:val="39"/>
    <w:semiHidden/>
    <w:unhideWhenUsed/>
    <w:qFormat/>
    <w:rsid w:val="00DA63D0"/>
    <w:pPr>
      <w:outlineLvl w:val="9"/>
    </w:pPr>
    <w:rPr>
      <w:lang w:val="en-US" w:eastAsia="ja-JP"/>
    </w:rPr>
  </w:style>
  <w:style w:type="paragraph" w:styleId="TOC1">
    <w:name w:val="toc 1"/>
    <w:basedOn w:val="Normal"/>
    <w:next w:val="Normal"/>
    <w:autoRedefine/>
    <w:uiPriority w:val="39"/>
    <w:unhideWhenUsed/>
    <w:qFormat/>
    <w:rsid w:val="00DA63D0"/>
    <w:pPr>
      <w:spacing w:after="100"/>
    </w:pPr>
  </w:style>
  <w:style w:type="paragraph" w:styleId="TOC2">
    <w:name w:val="toc 2"/>
    <w:basedOn w:val="Normal"/>
    <w:next w:val="Normal"/>
    <w:autoRedefine/>
    <w:uiPriority w:val="39"/>
    <w:unhideWhenUsed/>
    <w:qFormat/>
    <w:rsid w:val="00DA63D0"/>
    <w:pPr>
      <w:spacing w:after="100"/>
      <w:ind w:left="220"/>
    </w:pPr>
  </w:style>
  <w:style w:type="paragraph" w:styleId="TOC3">
    <w:name w:val="toc 3"/>
    <w:basedOn w:val="Normal"/>
    <w:next w:val="Normal"/>
    <w:autoRedefine/>
    <w:uiPriority w:val="39"/>
    <w:unhideWhenUsed/>
    <w:qFormat/>
    <w:rsid w:val="00DA63D0"/>
    <w:pPr>
      <w:spacing w:after="100"/>
      <w:ind w:left="440"/>
    </w:pPr>
  </w:style>
  <w:style w:type="table" w:styleId="TableGrid">
    <w:name w:val="Table Grid"/>
    <w:basedOn w:val="TableNormal"/>
    <w:uiPriority w:val="59"/>
    <w:rsid w:val="00D82918"/>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593B"/>
    <w:pPr>
      <w:autoSpaceDE w:val="0"/>
      <w:autoSpaceDN w:val="0"/>
      <w:adjustRightInd w:val="0"/>
    </w:pPr>
    <w:rPr>
      <w:rFonts w:ascii="Arial" w:hAnsi="Arial" w:cs="Arial"/>
      <w:color w:val="000000"/>
      <w:sz w:val="24"/>
      <w:szCs w:val="24"/>
      <w:lang w:eastAsia="en-US"/>
    </w:rPr>
  </w:style>
  <w:style w:type="character" w:styleId="Strong">
    <w:name w:val="Strong"/>
    <w:uiPriority w:val="22"/>
    <w:qFormat/>
    <w:rsid w:val="00D2643B"/>
    <w:rPr>
      <w:rFonts w:cs="Times New Roman"/>
      <w:b/>
    </w:rPr>
  </w:style>
  <w:style w:type="character" w:styleId="FollowedHyperlink">
    <w:name w:val="FollowedHyperlink"/>
    <w:uiPriority w:val="99"/>
    <w:semiHidden/>
    <w:unhideWhenUsed/>
    <w:rsid w:val="0052687C"/>
    <w:rPr>
      <w:rFonts w:cs="Times New Roman"/>
      <w:color w:val="800080"/>
      <w:u w:val="single"/>
    </w:rPr>
  </w:style>
  <w:style w:type="table" w:customStyle="1" w:styleId="TableGrid1">
    <w:name w:val="Table Grid1"/>
    <w:basedOn w:val="TableNormal"/>
    <w:next w:val="TableGrid"/>
    <w:rsid w:val="00E85EA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63E3"/>
    <w:pPr>
      <w:tabs>
        <w:tab w:val="center" w:pos="4513"/>
        <w:tab w:val="right" w:pos="9026"/>
      </w:tabs>
      <w:spacing w:after="0" w:line="240" w:lineRule="auto"/>
    </w:pPr>
  </w:style>
  <w:style w:type="character" w:customStyle="1" w:styleId="HeaderChar">
    <w:name w:val="Header Char"/>
    <w:link w:val="Header"/>
    <w:uiPriority w:val="99"/>
    <w:locked/>
    <w:rsid w:val="008763E3"/>
    <w:rPr>
      <w:rFonts w:cs="Times New Roman"/>
    </w:rPr>
  </w:style>
  <w:style w:type="paragraph" w:styleId="Footer">
    <w:name w:val="footer"/>
    <w:basedOn w:val="Normal"/>
    <w:link w:val="FooterChar"/>
    <w:uiPriority w:val="99"/>
    <w:unhideWhenUsed/>
    <w:rsid w:val="008763E3"/>
    <w:pPr>
      <w:tabs>
        <w:tab w:val="center" w:pos="4513"/>
        <w:tab w:val="right" w:pos="9026"/>
      </w:tabs>
      <w:spacing w:after="0" w:line="240" w:lineRule="auto"/>
    </w:pPr>
  </w:style>
  <w:style w:type="character" w:customStyle="1" w:styleId="FooterChar">
    <w:name w:val="Footer Char"/>
    <w:link w:val="Footer"/>
    <w:uiPriority w:val="99"/>
    <w:locked/>
    <w:rsid w:val="008763E3"/>
    <w:rPr>
      <w:rFonts w:cs="Times New Roman"/>
    </w:rPr>
  </w:style>
  <w:style w:type="paragraph" w:styleId="PlainText">
    <w:name w:val="Plain Text"/>
    <w:basedOn w:val="Normal"/>
    <w:link w:val="PlainTextChar"/>
    <w:uiPriority w:val="99"/>
    <w:semiHidden/>
    <w:unhideWhenUsed/>
    <w:rsid w:val="00C109A1"/>
    <w:pPr>
      <w:spacing w:after="0" w:line="240" w:lineRule="auto"/>
    </w:pPr>
    <w:rPr>
      <w:rFonts w:ascii="Calibri" w:hAnsi="Calibri"/>
    </w:rPr>
  </w:style>
  <w:style w:type="character" w:customStyle="1" w:styleId="PlainTextChar">
    <w:name w:val="Plain Text Char"/>
    <w:link w:val="PlainText"/>
    <w:uiPriority w:val="99"/>
    <w:semiHidden/>
    <w:locked/>
    <w:rsid w:val="00C109A1"/>
    <w:rPr>
      <w:rFonts w:ascii="Calibri" w:hAnsi="Calibri" w:cs="Times New Roman"/>
    </w:rPr>
  </w:style>
  <w:style w:type="paragraph" w:styleId="NoSpacing">
    <w:name w:val="No Spacing"/>
    <w:uiPriority w:val="1"/>
    <w:qFormat/>
    <w:rsid w:val="00D2643B"/>
    <w:rPr>
      <w:rFonts w:ascii="Verdana" w:hAnsi="Verdana" w:cs="Times New Roman"/>
      <w:sz w:val="22"/>
      <w:szCs w:val="22"/>
      <w:lang w:eastAsia="en-US"/>
    </w:rPr>
  </w:style>
  <w:style w:type="paragraph" w:styleId="Title">
    <w:name w:val="Title"/>
    <w:basedOn w:val="Normal"/>
    <w:next w:val="Normal"/>
    <w:link w:val="TitleChar"/>
    <w:uiPriority w:val="10"/>
    <w:qFormat/>
    <w:rsid w:val="00D2643B"/>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locked/>
    <w:rsid w:val="00D2643B"/>
    <w:rPr>
      <w:rFonts w:ascii="Verdana" w:hAnsi="Verdana" w:cs="Times New Roman"/>
      <w:color w:val="17365D"/>
      <w:spacing w:val="5"/>
      <w:kern w:val="28"/>
      <w:sz w:val="52"/>
    </w:rPr>
  </w:style>
  <w:style w:type="paragraph" w:styleId="Subtitle">
    <w:name w:val="Subtitle"/>
    <w:basedOn w:val="Normal"/>
    <w:next w:val="Normal"/>
    <w:link w:val="SubtitleChar"/>
    <w:uiPriority w:val="11"/>
    <w:qFormat/>
    <w:rsid w:val="00D2643B"/>
    <w:pPr>
      <w:numPr>
        <w:ilvl w:val="1"/>
      </w:numPr>
    </w:pPr>
    <w:rPr>
      <w:i/>
      <w:iCs/>
      <w:color w:val="4F81BD"/>
      <w:spacing w:val="15"/>
      <w:sz w:val="24"/>
      <w:szCs w:val="24"/>
    </w:rPr>
  </w:style>
  <w:style w:type="character" w:customStyle="1" w:styleId="SubtitleChar">
    <w:name w:val="Subtitle Char"/>
    <w:link w:val="Subtitle"/>
    <w:uiPriority w:val="11"/>
    <w:locked/>
    <w:rsid w:val="00D2643B"/>
    <w:rPr>
      <w:rFonts w:ascii="Verdana" w:hAnsi="Verdana" w:cs="Times New Roman"/>
      <w:i/>
      <w:color w:val="4F81BD"/>
      <w:spacing w:val="15"/>
      <w:sz w:val="24"/>
    </w:rPr>
  </w:style>
  <w:style w:type="character" w:styleId="SubtleEmphasis">
    <w:name w:val="Subtle Emphasis"/>
    <w:uiPriority w:val="19"/>
    <w:qFormat/>
    <w:rsid w:val="00D2643B"/>
    <w:rPr>
      <w:rFonts w:ascii="Verdana" w:hAnsi="Verdana" w:cs="Times New Roman"/>
      <w:i/>
      <w:color w:val="808080"/>
    </w:rPr>
  </w:style>
  <w:style w:type="character" w:styleId="Emphasis">
    <w:name w:val="Emphasis"/>
    <w:uiPriority w:val="20"/>
    <w:qFormat/>
    <w:rsid w:val="00D2643B"/>
    <w:rPr>
      <w:rFonts w:cs="Times New Roman"/>
      <w:i/>
    </w:rPr>
  </w:style>
  <w:style w:type="character" w:styleId="IntenseEmphasis">
    <w:name w:val="Intense Emphasis"/>
    <w:uiPriority w:val="21"/>
    <w:qFormat/>
    <w:rsid w:val="00D2643B"/>
    <w:rPr>
      <w:rFonts w:cs="Times New Roman"/>
      <w:b/>
      <w:i/>
      <w:color w:val="4F81BD"/>
    </w:rPr>
  </w:style>
  <w:style w:type="paragraph" w:styleId="Quote">
    <w:name w:val="Quote"/>
    <w:basedOn w:val="Normal"/>
    <w:next w:val="Normal"/>
    <w:link w:val="QuoteChar"/>
    <w:uiPriority w:val="29"/>
    <w:qFormat/>
    <w:rsid w:val="00D2643B"/>
    <w:rPr>
      <w:i/>
      <w:iCs/>
      <w:color w:val="000000"/>
    </w:rPr>
  </w:style>
  <w:style w:type="character" w:customStyle="1" w:styleId="QuoteChar">
    <w:name w:val="Quote Char"/>
    <w:link w:val="Quote"/>
    <w:uiPriority w:val="29"/>
    <w:locked/>
    <w:rsid w:val="00D2643B"/>
    <w:rPr>
      <w:rFonts w:ascii="Verdana" w:hAnsi="Verdana" w:cs="Times New Roman"/>
      <w:i/>
      <w:color w:val="000000"/>
    </w:rPr>
  </w:style>
  <w:style w:type="paragraph" w:styleId="IntenseQuote">
    <w:name w:val="Intense Quote"/>
    <w:basedOn w:val="Normal"/>
    <w:next w:val="Normal"/>
    <w:link w:val="IntenseQuoteChar"/>
    <w:uiPriority w:val="30"/>
    <w:qFormat/>
    <w:rsid w:val="00D2643B"/>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locked/>
    <w:rsid w:val="00D2643B"/>
    <w:rPr>
      <w:rFonts w:ascii="Verdana" w:hAnsi="Verdana" w:cs="Times New Roman"/>
      <w:b/>
      <w:i/>
      <w:color w:val="4F81BD"/>
    </w:rPr>
  </w:style>
  <w:style w:type="character" w:styleId="SubtleReference">
    <w:name w:val="Subtle Reference"/>
    <w:uiPriority w:val="31"/>
    <w:qFormat/>
    <w:rsid w:val="00D2643B"/>
    <w:rPr>
      <w:rFonts w:cs="Times New Roman"/>
      <w:smallCaps/>
      <w:color w:val="C0504D"/>
      <w:u w:val="single"/>
    </w:rPr>
  </w:style>
  <w:style w:type="character" w:styleId="IntenseReference">
    <w:name w:val="Intense Reference"/>
    <w:uiPriority w:val="32"/>
    <w:qFormat/>
    <w:rsid w:val="00D2643B"/>
    <w:rPr>
      <w:rFonts w:cs="Times New Roman"/>
      <w:b/>
      <w:smallCaps/>
      <w:color w:val="C0504D"/>
      <w:spacing w:val="5"/>
      <w:u w:val="single"/>
    </w:rPr>
  </w:style>
  <w:style w:type="character" w:styleId="BookTitle">
    <w:name w:val="Book Title"/>
    <w:uiPriority w:val="33"/>
    <w:qFormat/>
    <w:rsid w:val="00D2643B"/>
    <w:rPr>
      <w:rFonts w:cs="Times New Roman"/>
      <w:b/>
      <w:smallCaps/>
      <w:spacing w:val="5"/>
    </w:rPr>
  </w:style>
  <w:style w:type="character" w:styleId="CommentReference">
    <w:name w:val="annotation reference"/>
    <w:uiPriority w:val="99"/>
    <w:semiHidden/>
    <w:unhideWhenUsed/>
    <w:rsid w:val="004B4F14"/>
    <w:rPr>
      <w:sz w:val="16"/>
      <w:szCs w:val="16"/>
    </w:rPr>
  </w:style>
  <w:style w:type="paragraph" w:styleId="CommentText">
    <w:name w:val="annotation text"/>
    <w:basedOn w:val="Normal"/>
    <w:link w:val="CommentTextChar"/>
    <w:uiPriority w:val="99"/>
    <w:semiHidden/>
    <w:unhideWhenUsed/>
    <w:rsid w:val="004B4F14"/>
    <w:rPr>
      <w:sz w:val="20"/>
      <w:szCs w:val="20"/>
    </w:rPr>
  </w:style>
  <w:style w:type="character" w:customStyle="1" w:styleId="CommentTextChar">
    <w:name w:val="Comment Text Char"/>
    <w:link w:val="CommentText"/>
    <w:uiPriority w:val="99"/>
    <w:semiHidden/>
    <w:rsid w:val="004B4F14"/>
    <w:rPr>
      <w:rFonts w:ascii="Verdana" w:hAnsi="Verdana" w:cs="Times New Roman"/>
      <w:lang w:eastAsia="en-US"/>
    </w:rPr>
  </w:style>
  <w:style w:type="paragraph" w:styleId="CommentSubject">
    <w:name w:val="annotation subject"/>
    <w:basedOn w:val="CommentText"/>
    <w:next w:val="CommentText"/>
    <w:link w:val="CommentSubjectChar"/>
    <w:uiPriority w:val="99"/>
    <w:semiHidden/>
    <w:unhideWhenUsed/>
    <w:rsid w:val="004B4F14"/>
    <w:rPr>
      <w:b/>
      <w:bCs/>
    </w:rPr>
  </w:style>
  <w:style w:type="character" w:customStyle="1" w:styleId="CommentSubjectChar">
    <w:name w:val="Comment Subject Char"/>
    <w:link w:val="CommentSubject"/>
    <w:uiPriority w:val="99"/>
    <w:semiHidden/>
    <w:rsid w:val="004B4F14"/>
    <w:rPr>
      <w:rFonts w:ascii="Verdana" w:hAnsi="Verdana" w:cs="Times New Roman"/>
      <w:b/>
      <w:bCs/>
      <w:lang w:eastAsia="en-US"/>
    </w:rPr>
  </w:style>
  <w:style w:type="table" w:customStyle="1" w:styleId="TableGrid2">
    <w:name w:val="Table Grid2"/>
    <w:basedOn w:val="TableNormal"/>
    <w:next w:val="TableGrid"/>
    <w:uiPriority w:val="59"/>
    <w:rsid w:val="00A76A8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3C095C"/>
    <w:pPr>
      <w:widowControl w:val="0"/>
      <w:spacing w:before="10" w:after="0" w:line="240" w:lineRule="auto"/>
    </w:pPr>
    <w:rPr>
      <w:rFonts w:ascii="Arial" w:eastAsia="Arial" w:hAnsi="Arial" w:cs="Arial"/>
      <w:b/>
      <w:bCs/>
      <w:sz w:val="28"/>
      <w:szCs w:val="28"/>
      <w:lang w:val="en-US"/>
    </w:rPr>
  </w:style>
  <w:style w:type="character" w:customStyle="1" w:styleId="BodyTextChar">
    <w:name w:val="Body Text Char"/>
    <w:basedOn w:val="DefaultParagraphFont"/>
    <w:link w:val="BodyText"/>
    <w:uiPriority w:val="1"/>
    <w:rsid w:val="003C095C"/>
    <w:rPr>
      <w:rFonts w:ascii="Arial" w:eastAsia="Arial" w:hAnsi="Arial" w:cs="Arial"/>
      <w:b/>
      <w:bCs/>
      <w:sz w:val="28"/>
      <w:szCs w:val="28"/>
      <w:lang w:val="en-US" w:eastAsia="en-US"/>
    </w:rPr>
  </w:style>
  <w:style w:type="paragraph" w:customStyle="1" w:styleId="TableParagraph">
    <w:name w:val="Table Paragraph"/>
    <w:basedOn w:val="Normal"/>
    <w:uiPriority w:val="1"/>
    <w:qFormat/>
    <w:rsid w:val="003C095C"/>
    <w:pPr>
      <w:widowControl w:val="0"/>
      <w:spacing w:before="57" w:after="0" w:line="240" w:lineRule="auto"/>
      <w:ind w:left="40"/>
    </w:pPr>
    <w:rPr>
      <w:rFonts w:ascii="Arial" w:eastAsia="Arial" w:hAnsi="Arial" w:cs="Arial"/>
      <w:lang w:val="en-US"/>
    </w:rPr>
  </w:style>
  <w:style w:type="table" w:styleId="LightShading-Accent1">
    <w:name w:val="Light Shading Accent 1"/>
    <w:basedOn w:val="TableNormal"/>
    <w:uiPriority w:val="60"/>
    <w:rsid w:val="00A4001A"/>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rmalWeb">
    <w:name w:val="Normal (Web)"/>
    <w:basedOn w:val="Normal"/>
    <w:uiPriority w:val="99"/>
    <w:unhideWhenUsed/>
    <w:rsid w:val="00A02C95"/>
    <w:pPr>
      <w:spacing w:after="0" w:line="240" w:lineRule="auto"/>
    </w:pPr>
    <w:rPr>
      <w:rFonts w:ascii="Times New Roman" w:hAnsi="Times New Roman"/>
      <w:sz w:val="24"/>
      <w:szCs w:val="24"/>
      <w:lang w:eastAsia="en-GB"/>
    </w:rPr>
  </w:style>
  <w:style w:type="character" w:customStyle="1" w:styleId="ListParagraphChar">
    <w:name w:val="List Paragraph Char"/>
    <w:basedOn w:val="DefaultParagraphFont"/>
    <w:link w:val="ListParagraph"/>
    <w:uiPriority w:val="34"/>
    <w:rsid w:val="00426F45"/>
    <w:rPr>
      <w:rFonts w:ascii="Verdana" w:hAnsi="Verdana" w:cs="Times New Roman"/>
      <w:sz w:val="22"/>
      <w:szCs w:val="22"/>
      <w:lang w:eastAsia="en-US"/>
    </w:rPr>
  </w:style>
  <w:style w:type="paragraph" w:customStyle="1" w:styleId="Pa2">
    <w:name w:val="Pa2"/>
    <w:basedOn w:val="Default"/>
    <w:next w:val="Default"/>
    <w:uiPriority w:val="99"/>
    <w:rsid w:val="00E22DB0"/>
    <w:pPr>
      <w:spacing w:line="241" w:lineRule="atLeast"/>
    </w:pPr>
    <w:rPr>
      <w:rFonts w:ascii="Helvetica" w:hAnsi="Helvetica" w:cs="Helvetica"/>
      <w:color w:val="auto"/>
      <w:lang w:eastAsia="en-GB"/>
    </w:rPr>
  </w:style>
  <w:style w:type="paragraph" w:styleId="Revision">
    <w:name w:val="Revision"/>
    <w:hidden/>
    <w:uiPriority w:val="99"/>
    <w:semiHidden/>
    <w:rsid w:val="00F355F8"/>
    <w:rPr>
      <w:rFonts w:ascii="Verdana" w:hAnsi="Verdana" w:cs="Times New Roman"/>
      <w:sz w:val="22"/>
      <w:szCs w:val="22"/>
      <w:lang w:eastAsia="en-US"/>
    </w:rPr>
  </w:style>
  <w:style w:type="character" w:customStyle="1" w:styleId="ends2">
    <w:name w:val="ends2"/>
    <w:basedOn w:val="DefaultParagraphFont"/>
    <w:rsid w:val="00F01C26"/>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353091">
      <w:bodyDiv w:val="1"/>
      <w:marLeft w:val="0"/>
      <w:marRight w:val="0"/>
      <w:marTop w:val="0"/>
      <w:marBottom w:val="0"/>
      <w:divBdr>
        <w:top w:val="none" w:sz="0" w:space="0" w:color="auto"/>
        <w:left w:val="none" w:sz="0" w:space="0" w:color="auto"/>
        <w:bottom w:val="none" w:sz="0" w:space="0" w:color="auto"/>
        <w:right w:val="none" w:sz="0" w:space="0" w:color="auto"/>
      </w:divBdr>
    </w:div>
    <w:div w:id="127824896">
      <w:bodyDiv w:val="1"/>
      <w:marLeft w:val="0"/>
      <w:marRight w:val="0"/>
      <w:marTop w:val="0"/>
      <w:marBottom w:val="0"/>
      <w:divBdr>
        <w:top w:val="none" w:sz="0" w:space="0" w:color="auto"/>
        <w:left w:val="none" w:sz="0" w:space="0" w:color="auto"/>
        <w:bottom w:val="none" w:sz="0" w:space="0" w:color="auto"/>
        <w:right w:val="none" w:sz="0" w:space="0" w:color="auto"/>
      </w:divBdr>
    </w:div>
    <w:div w:id="346830858">
      <w:bodyDiv w:val="1"/>
      <w:marLeft w:val="0"/>
      <w:marRight w:val="0"/>
      <w:marTop w:val="0"/>
      <w:marBottom w:val="0"/>
      <w:divBdr>
        <w:top w:val="none" w:sz="0" w:space="0" w:color="auto"/>
        <w:left w:val="none" w:sz="0" w:space="0" w:color="auto"/>
        <w:bottom w:val="none" w:sz="0" w:space="0" w:color="auto"/>
        <w:right w:val="none" w:sz="0" w:space="0" w:color="auto"/>
      </w:divBdr>
    </w:div>
    <w:div w:id="883903465">
      <w:bodyDiv w:val="1"/>
      <w:marLeft w:val="0"/>
      <w:marRight w:val="0"/>
      <w:marTop w:val="0"/>
      <w:marBottom w:val="0"/>
      <w:divBdr>
        <w:top w:val="none" w:sz="0" w:space="0" w:color="auto"/>
        <w:left w:val="none" w:sz="0" w:space="0" w:color="auto"/>
        <w:bottom w:val="none" w:sz="0" w:space="0" w:color="auto"/>
        <w:right w:val="none" w:sz="0" w:space="0" w:color="auto"/>
      </w:divBdr>
      <w:divsChild>
        <w:div w:id="249588598">
          <w:marLeft w:val="0"/>
          <w:marRight w:val="0"/>
          <w:marTop w:val="0"/>
          <w:marBottom w:val="0"/>
          <w:divBdr>
            <w:top w:val="none" w:sz="0" w:space="0" w:color="auto"/>
            <w:left w:val="none" w:sz="0" w:space="0" w:color="auto"/>
            <w:bottom w:val="none" w:sz="0" w:space="0" w:color="auto"/>
            <w:right w:val="none" w:sz="0" w:space="0" w:color="auto"/>
          </w:divBdr>
          <w:divsChild>
            <w:div w:id="415060321">
              <w:marLeft w:val="0"/>
              <w:marRight w:val="0"/>
              <w:marTop w:val="0"/>
              <w:marBottom w:val="0"/>
              <w:divBdr>
                <w:top w:val="none" w:sz="0" w:space="0" w:color="auto"/>
                <w:left w:val="none" w:sz="0" w:space="0" w:color="auto"/>
                <w:bottom w:val="none" w:sz="0" w:space="0" w:color="auto"/>
                <w:right w:val="none" w:sz="0" w:space="0" w:color="auto"/>
              </w:divBdr>
              <w:divsChild>
                <w:div w:id="828519905">
                  <w:marLeft w:val="-180"/>
                  <w:marRight w:val="-180"/>
                  <w:marTop w:val="0"/>
                  <w:marBottom w:val="0"/>
                  <w:divBdr>
                    <w:top w:val="none" w:sz="0" w:space="0" w:color="auto"/>
                    <w:left w:val="none" w:sz="0" w:space="0" w:color="auto"/>
                    <w:bottom w:val="none" w:sz="0" w:space="0" w:color="auto"/>
                    <w:right w:val="none" w:sz="0" w:space="0" w:color="auto"/>
                  </w:divBdr>
                  <w:divsChild>
                    <w:div w:id="1041826984">
                      <w:marLeft w:val="0"/>
                      <w:marRight w:val="0"/>
                      <w:marTop w:val="0"/>
                      <w:marBottom w:val="0"/>
                      <w:divBdr>
                        <w:top w:val="none" w:sz="0" w:space="0" w:color="auto"/>
                        <w:left w:val="none" w:sz="0" w:space="0" w:color="auto"/>
                        <w:bottom w:val="none" w:sz="0" w:space="0" w:color="auto"/>
                        <w:right w:val="none" w:sz="0" w:space="0" w:color="auto"/>
                      </w:divBdr>
                      <w:divsChild>
                        <w:div w:id="729617998">
                          <w:marLeft w:val="0"/>
                          <w:marRight w:val="0"/>
                          <w:marTop w:val="0"/>
                          <w:marBottom w:val="0"/>
                          <w:divBdr>
                            <w:top w:val="none" w:sz="0" w:space="0" w:color="auto"/>
                            <w:left w:val="none" w:sz="0" w:space="0" w:color="auto"/>
                            <w:bottom w:val="none" w:sz="0" w:space="0" w:color="auto"/>
                            <w:right w:val="none" w:sz="0" w:space="0" w:color="auto"/>
                          </w:divBdr>
                          <w:divsChild>
                            <w:div w:id="303656809">
                              <w:marLeft w:val="0"/>
                              <w:marRight w:val="0"/>
                              <w:marTop w:val="0"/>
                              <w:marBottom w:val="0"/>
                              <w:divBdr>
                                <w:top w:val="none" w:sz="0" w:space="0" w:color="auto"/>
                                <w:left w:val="none" w:sz="0" w:space="0" w:color="auto"/>
                                <w:bottom w:val="none" w:sz="0" w:space="0" w:color="auto"/>
                                <w:right w:val="none" w:sz="0" w:space="0" w:color="auto"/>
                              </w:divBdr>
                              <w:divsChild>
                                <w:div w:id="833304987">
                                  <w:marLeft w:val="0"/>
                                  <w:marRight w:val="0"/>
                                  <w:marTop w:val="0"/>
                                  <w:marBottom w:val="0"/>
                                  <w:divBdr>
                                    <w:top w:val="none" w:sz="0" w:space="0" w:color="auto"/>
                                    <w:left w:val="none" w:sz="0" w:space="0" w:color="auto"/>
                                    <w:bottom w:val="none" w:sz="0" w:space="0" w:color="auto"/>
                                    <w:right w:val="none" w:sz="0" w:space="0" w:color="auto"/>
                                  </w:divBdr>
                                  <w:divsChild>
                                    <w:div w:id="1320189745">
                                      <w:marLeft w:val="0"/>
                                      <w:marRight w:val="0"/>
                                      <w:marTop w:val="0"/>
                                      <w:marBottom w:val="480"/>
                                      <w:divBdr>
                                        <w:top w:val="none" w:sz="0" w:space="0" w:color="auto"/>
                                        <w:left w:val="none" w:sz="0" w:space="0" w:color="auto"/>
                                        <w:bottom w:val="none" w:sz="0" w:space="0" w:color="auto"/>
                                        <w:right w:val="none" w:sz="0" w:space="0" w:color="auto"/>
                                      </w:divBdr>
                                      <w:divsChild>
                                        <w:div w:id="1249577890">
                                          <w:marLeft w:val="0"/>
                                          <w:marRight w:val="0"/>
                                          <w:marTop w:val="0"/>
                                          <w:marBottom w:val="0"/>
                                          <w:divBdr>
                                            <w:top w:val="none" w:sz="0" w:space="0" w:color="auto"/>
                                            <w:left w:val="none" w:sz="0" w:space="0" w:color="auto"/>
                                            <w:bottom w:val="none" w:sz="0" w:space="0" w:color="auto"/>
                                            <w:right w:val="none" w:sz="0" w:space="0" w:color="auto"/>
                                          </w:divBdr>
                                          <w:divsChild>
                                            <w:div w:id="98375637">
                                              <w:marLeft w:val="0"/>
                                              <w:marRight w:val="0"/>
                                              <w:marTop w:val="0"/>
                                              <w:marBottom w:val="0"/>
                                              <w:divBdr>
                                                <w:top w:val="none" w:sz="0" w:space="0" w:color="auto"/>
                                                <w:left w:val="none" w:sz="0" w:space="0" w:color="auto"/>
                                                <w:bottom w:val="none" w:sz="0" w:space="0" w:color="auto"/>
                                                <w:right w:val="none" w:sz="0" w:space="0" w:color="auto"/>
                                              </w:divBdr>
                                              <w:divsChild>
                                                <w:div w:id="1279490757">
                                                  <w:marLeft w:val="0"/>
                                                  <w:marRight w:val="0"/>
                                                  <w:marTop w:val="0"/>
                                                  <w:marBottom w:val="360"/>
                                                  <w:divBdr>
                                                    <w:top w:val="none" w:sz="0" w:space="0" w:color="auto"/>
                                                    <w:left w:val="none" w:sz="0" w:space="0" w:color="auto"/>
                                                    <w:bottom w:val="none" w:sz="0" w:space="0" w:color="auto"/>
                                                    <w:right w:val="none" w:sz="0" w:space="0" w:color="auto"/>
                                                  </w:divBdr>
                                                  <w:divsChild>
                                                    <w:div w:id="1109204859">
                                                      <w:marLeft w:val="0"/>
                                                      <w:marRight w:val="0"/>
                                                      <w:marTop w:val="0"/>
                                                      <w:marBottom w:val="0"/>
                                                      <w:divBdr>
                                                        <w:top w:val="none" w:sz="0" w:space="0" w:color="auto"/>
                                                        <w:left w:val="none" w:sz="0" w:space="0" w:color="auto"/>
                                                        <w:bottom w:val="none" w:sz="0" w:space="0" w:color="auto"/>
                                                        <w:right w:val="none" w:sz="0" w:space="0" w:color="auto"/>
                                                      </w:divBdr>
                                                      <w:divsChild>
                                                        <w:div w:id="1282763635">
                                                          <w:marLeft w:val="0"/>
                                                          <w:marRight w:val="0"/>
                                                          <w:marTop w:val="0"/>
                                                          <w:marBottom w:val="360"/>
                                                          <w:divBdr>
                                                            <w:top w:val="none" w:sz="0" w:space="0" w:color="auto"/>
                                                            <w:left w:val="none" w:sz="0" w:space="0" w:color="auto"/>
                                                            <w:bottom w:val="none" w:sz="0" w:space="0" w:color="auto"/>
                                                            <w:right w:val="none" w:sz="0" w:space="0" w:color="auto"/>
                                                          </w:divBdr>
                                                          <w:divsChild>
                                                            <w:div w:id="2028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0843060">
      <w:bodyDiv w:val="1"/>
      <w:marLeft w:val="0"/>
      <w:marRight w:val="0"/>
      <w:marTop w:val="0"/>
      <w:marBottom w:val="0"/>
      <w:divBdr>
        <w:top w:val="none" w:sz="0" w:space="0" w:color="auto"/>
        <w:left w:val="none" w:sz="0" w:space="0" w:color="auto"/>
        <w:bottom w:val="none" w:sz="0" w:space="0" w:color="auto"/>
        <w:right w:val="none" w:sz="0" w:space="0" w:color="auto"/>
      </w:divBdr>
      <w:divsChild>
        <w:div w:id="946616512">
          <w:marLeft w:val="0"/>
          <w:marRight w:val="0"/>
          <w:marTop w:val="0"/>
          <w:marBottom w:val="0"/>
          <w:divBdr>
            <w:top w:val="none" w:sz="0" w:space="0" w:color="auto"/>
            <w:left w:val="none" w:sz="0" w:space="0" w:color="auto"/>
            <w:bottom w:val="none" w:sz="0" w:space="0" w:color="auto"/>
            <w:right w:val="none" w:sz="0" w:space="0" w:color="auto"/>
          </w:divBdr>
          <w:divsChild>
            <w:div w:id="287781419">
              <w:marLeft w:val="0"/>
              <w:marRight w:val="0"/>
              <w:marTop w:val="0"/>
              <w:marBottom w:val="0"/>
              <w:divBdr>
                <w:top w:val="none" w:sz="0" w:space="0" w:color="auto"/>
                <w:left w:val="none" w:sz="0" w:space="0" w:color="auto"/>
                <w:bottom w:val="none" w:sz="0" w:space="0" w:color="auto"/>
                <w:right w:val="none" w:sz="0" w:space="0" w:color="auto"/>
              </w:divBdr>
              <w:divsChild>
                <w:div w:id="1840349030">
                  <w:marLeft w:val="-180"/>
                  <w:marRight w:val="-180"/>
                  <w:marTop w:val="0"/>
                  <w:marBottom w:val="0"/>
                  <w:divBdr>
                    <w:top w:val="none" w:sz="0" w:space="0" w:color="auto"/>
                    <w:left w:val="none" w:sz="0" w:space="0" w:color="auto"/>
                    <w:bottom w:val="none" w:sz="0" w:space="0" w:color="auto"/>
                    <w:right w:val="none" w:sz="0" w:space="0" w:color="auto"/>
                  </w:divBdr>
                  <w:divsChild>
                    <w:div w:id="6444778">
                      <w:marLeft w:val="0"/>
                      <w:marRight w:val="0"/>
                      <w:marTop w:val="0"/>
                      <w:marBottom w:val="0"/>
                      <w:divBdr>
                        <w:top w:val="none" w:sz="0" w:space="0" w:color="auto"/>
                        <w:left w:val="none" w:sz="0" w:space="0" w:color="auto"/>
                        <w:bottom w:val="none" w:sz="0" w:space="0" w:color="auto"/>
                        <w:right w:val="none" w:sz="0" w:space="0" w:color="auto"/>
                      </w:divBdr>
                      <w:divsChild>
                        <w:div w:id="271517133">
                          <w:marLeft w:val="0"/>
                          <w:marRight w:val="0"/>
                          <w:marTop w:val="0"/>
                          <w:marBottom w:val="0"/>
                          <w:divBdr>
                            <w:top w:val="none" w:sz="0" w:space="0" w:color="auto"/>
                            <w:left w:val="none" w:sz="0" w:space="0" w:color="auto"/>
                            <w:bottom w:val="none" w:sz="0" w:space="0" w:color="auto"/>
                            <w:right w:val="none" w:sz="0" w:space="0" w:color="auto"/>
                          </w:divBdr>
                          <w:divsChild>
                            <w:div w:id="1077940619">
                              <w:marLeft w:val="0"/>
                              <w:marRight w:val="0"/>
                              <w:marTop w:val="0"/>
                              <w:marBottom w:val="0"/>
                              <w:divBdr>
                                <w:top w:val="none" w:sz="0" w:space="0" w:color="auto"/>
                                <w:left w:val="none" w:sz="0" w:space="0" w:color="auto"/>
                                <w:bottom w:val="none" w:sz="0" w:space="0" w:color="auto"/>
                                <w:right w:val="none" w:sz="0" w:space="0" w:color="auto"/>
                              </w:divBdr>
                              <w:divsChild>
                                <w:div w:id="189532572">
                                  <w:marLeft w:val="0"/>
                                  <w:marRight w:val="0"/>
                                  <w:marTop w:val="0"/>
                                  <w:marBottom w:val="0"/>
                                  <w:divBdr>
                                    <w:top w:val="none" w:sz="0" w:space="0" w:color="auto"/>
                                    <w:left w:val="none" w:sz="0" w:space="0" w:color="auto"/>
                                    <w:bottom w:val="none" w:sz="0" w:space="0" w:color="auto"/>
                                    <w:right w:val="none" w:sz="0" w:space="0" w:color="auto"/>
                                  </w:divBdr>
                                  <w:divsChild>
                                    <w:div w:id="782266730">
                                      <w:marLeft w:val="0"/>
                                      <w:marRight w:val="0"/>
                                      <w:marTop w:val="0"/>
                                      <w:marBottom w:val="480"/>
                                      <w:divBdr>
                                        <w:top w:val="none" w:sz="0" w:space="0" w:color="auto"/>
                                        <w:left w:val="none" w:sz="0" w:space="0" w:color="auto"/>
                                        <w:bottom w:val="none" w:sz="0" w:space="0" w:color="auto"/>
                                        <w:right w:val="none" w:sz="0" w:space="0" w:color="auto"/>
                                      </w:divBdr>
                                      <w:divsChild>
                                        <w:div w:id="864901591">
                                          <w:marLeft w:val="0"/>
                                          <w:marRight w:val="0"/>
                                          <w:marTop w:val="0"/>
                                          <w:marBottom w:val="0"/>
                                          <w:divBdr>
                                            <w:top w:val="none" w:sz="0" w:space="0" w:color="auto"/>
                                            <w:left w:val="none" w:sz="0" w:space="0" w:color="auto"/>
                                            <w:bottom w:val="none" w:sz="0" w:space="0" w:color="auto"/>
                                            <w:right w:val="none" w:sz="0" w:space="0" w:color="auto"/>
                                          </w:divBdr>
                                          <w:divsChild>
                                            <w:div w:id="42580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7143134">
      <w:bodyDiv w:val="1"/>
      <w:marLeft w:val="0"/>
      <w:marRight w:val="0"/>
      <w:marTop w:val="0"/>
      <w:marBottom w:val="0"/>
      <w:divBdr>
        <w:top w:val="none" w:sz="0" w:space="0" w:color="auto"/>
        <w:left w:val="none" w:sz="0" w:space="0" w:color="auto"/>
        <w:bottom w:val="none" w:sz="0" w:space="0" w:color="auto"/>
        <w:right w:val="none" w:sz="0" w:space="0" w:color="auto"/>
      </w:divBdr>
    </w:div>
    <w:div w:id="1259866982">
      <w:bodyDiv w:val="1"/>
      <w:marLeft w:val="0"/>
      <w:marRight w:val="0"/>
      <w:marTop w:val="0"/>
      <w:marBottom w:val="0"/>
      <w:divBdr>
        <w:top w:val="none" w:sz="0" w:space="0" w:color="auto"/>
        <w:left w:val="none" w:sz="0" w:space="0" w:color="auto"/>
        <w:bottom w:val="none" w:sz="0" w:space="0" w:color="auto"/>
        <w:right w:val="none" w:sz="0" w:space="0" w:color="auto"/>
      </w:divBdr>
      <w:divsChild>
        <w:div w:id="568854607">
          <w:marLeft w:val="0"/>
          <w:marRight w:val="0"/>
          <w:marTop w:val="0"/>
          <w:marBottom w:val="0"/>
          <w:divBdr>
            <w:top w:val="none" w:sz="0" w:space="0" w:color="auto"/>
            <w:left w:val="none" w:sz="0" w:space="0" w:color="auto"/>
            <w:bottom w:val="none" w:sz="0" w:space="0" w:color="auto"/>
            <w:right w:val="none" w:sz="0" w:space="0" w:color="auto"/>
          </w:divBdr>
          <w:divsChild>
            <w:div w:id="2098594734">
              <w:marLeft w:val="0"/>
              <w:marRight w:val="0"/>
              <w:marTop w:val="0"/>
              <w:marBottom w:val="0"/>
              <w:divBdr>
                <w:top w:val="none" w:sz="0" w:space="0" w:color="auto"/>
                <w:left w:val="none" w:sz="0" w:space="0" w:color="auto"/>
                <w:bottom w:val="none" w:sz="0" w:space="0" w:color="auto"/>
                <w:right w:val="none" w:sz="0" w:space="0" w:color="auto"/>
              </w:divBdr>
              <w:divsChild>
                <w:div w:id="19745647">
                  <w:marLeft w:val="0"/>
                  <w:marRight w:val="0"/>
                  <w:marTop w:val="0"/>
                  <w:marBottom w:val="0"/>
                  <w:divBdr>
                    <w:top w:val="none" w:sz="0" w:space="0" w:color="auto"/>
                    <w:left w:val="none" w:sz="0" w:space="0" w:color="auto"/>
                    <w:bottom w:val="none" w:sz="0" w:space="0" w:color="auto"/>
                    <w:right w:val="none" w:sz="0" w:space="0" w:color="auto"/>
                  </w:divBdr>
                  <w:divsChild>
                    <w:div w:id="1752120347">
                      <w:marLeft w:val="0"/>
                      <w:marRight w:val="0"/>
                      <w:marTop w:val="0"/>
                      <w:marBottom w:val="0"/>
                      <w:divBdr>
                        <w:top w:val="none" w:sz="0" w:space="0" w:color="auto"/>
                        <w:left w:val="none" w:sz="0" w:space="0" w:color="auto"/>
                        <w:bottom w:val="none" w:sz="0" w:space="0" w:color="auto"/>
                        <w:right w:val="none" w:sz="0" w:space="0" w:color="auto"/>
                      </w:divBdr>
                      <w:divsChild>
                        <w:div w:id="1467316432">
                          <w:marLeft w:val="0"/>
                          <w:marRight w:val="0"/>
                          <w:marTop w:val="0"/>
                          <w:marBottom w:val="0"/>
                          <w:divBdr>
                            <w:top w:val="none" w:sz="0" w:space="0" w:color="auto"/>
                            <w:left w:val="none" w:sz="0" w:space="0" w:color="auto"/>
                            <w:bottom w:val="none" w:sz="0" w:space="0" w:color="auto"/>
                            <w:right w:val="none" w:sz="0" w:space="0" w:color="auto"/>
                          </w:divBdr>
                          <w:divsChild>
                            <w:div w:id="157805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845536">
      <w:marLeft w:val="0"/>
      <w:marRight w:val="0"/>
      <w:marTop w:val="0"/>
      <w:marBottom w:val="0"/>
      <w:divBdr>
        <w:top w:val="none" w:sz="0" w:space="0" w:color="auto"/>
        <w:left w:val="none" w:sz="0" w:space="0" w:color="auto"/>
        <w:bottom w:val="none" w:sz="0" w:space="0" w:color="auto"/>
        <w:right w:val="none" w:sz="0" w:space="0" w:color="auto"/>
      </w:divBdr>
    </w:div>
    <w:div w:id="1407845537">
      <w:marLeft w:val="0"/>
      <w:marRight w:val="0"/>
      <w:marTop w:val="0"/>
      <w:marBottom w:val="0"/>
      <w:divBdr>
        <w:top w:val="none" w:sz="0" w:space="0" w:color="auto"/>
        <w:left w:val="none" w:sz="0" w:space="0" w:color="auto"/>
        <w:bottom w:val="none" w:sz="0" w:space="0" w:color="auto"/>
        <w:right w:val="none" w:sz="0" w:space="0" w:color="auto"/>
      </w:divBdr>
    </w:div>
    <w:div w:id="1407845538">
      <w:marLeft w:val="0"/>
      <w:marRight w:val="0"/>
      <w:marTop w:val="0"/>
      <w:marBottom w:val="0"/>
      <w:divBdr>
        <w:top w:val="none" w:sz="0" w:space="0" w:color="auto"/>
        <w:left w:val="none" w:sz="0" w:space="0" w:color="auto"/>
        <w:bottom w:val="none" w:sz="0" w:space="0" w:color="auto"/>
        <w:right w:val="none" w:sz="0" w:space="0" w:color="auto"/>
      </w:divBdr>
    </w:div>
    <w:div w:id="1407845539">
      <w:marLeft w:val="0"/>
      <w:marRight w:val="0"/>
      <w:marTop w:val="0"/>
      <w:marBottom w:val="0"/>
      <w:divBdr>
        <w:top w:val="none" w:sz="0" w:space="0" w:color="auto"/>
        <w:left w:val="none" w:sz="0" w:space="0" w:color="auto"/>
        <w:bottom w:val="none" w:sz="0" w:space="0" w:color="auto"/>
        <w:right w:val="none" w:sz="0" w:space="0" w:color="auto"/>
      </w:divBdr>
    </w:div>
    <w:div w:id="1407845540">
      <w:marLeft w:val="0"/>
      <w:marRight w:val="0"/>
      <w:marTop w:val="0"/>
      <w:marBottom w:val="0"/>
      <w:divBdr>
        <w:top w:val="none" w:sz="0" w:space="0" w:color="auto"/>
        <w:left w:val="none" w:sz="0" w:space="0" w:color="auto"/>
        <w:bottom w:val="none" w:sz="0" w:space="0" w:color="auto"/>
        <w:right w:val="none" w:sz="0" w:space="0" w:color="auto"/>
      </w:divBdr>
    </w:div>
    <w:div w:id="1407845541">
      <w:marLeft w:val="0"/>
      <w:marRight w:val="0"/>
      <w:marTop w:val="0"/>
      <w:marBottom w:val="0"/>
      <w:divBdr>
        <w:top w:val="none" w:sz="0" w:space="0" w:color="auto"/>
        <w:left w:val="none" w:sz="0" w:space="0" w:color="auto"/>
        <w:bottom w:val="none" w:sz="0" w:space="0" w:color="auto"/>
        <w:right w:val="none" w:sz="0" w:space="0" w:color="auto"/>
      </w:divBdr>
    </w:div>
    <w:div w:id="1407845542">
      <w:marLeft w:val="0"/>
      <w:marRight w:val="0"/>
      <w:marTop w:val="0"/>
      <w:marBottom w:val="0"/>
      <w:divBdr>
        <w:top w:val="none" w:sz="0" w:space="0" w:color="auto"/>
        <w:left w:val="none" w:sz="0" w:space="0" w:color="auto"/>
        <w:bottom w:val="none" w:sz="0" w:space="0" w:color="auto"/>
        <w:right w:val="none" w:sz="0" w:space="0" w:color="auto"/>
      </w:divBdr>
    </w:div>
    <w:div w:id="1407845543">
      <w:marLeft w:val="0"/>
      <w:marRight w:val="0"/>
      <w:marTop w:val="0"/>
      <w:marBottom w:val="0"/>
      <w:divBdr>
        <w:top w:val="none" w:sz="0" w:space="0" w:color="auto"/>
        <w:left w:val="none" w:sz="0" w:space="0" w:color="auto"/>
        <w:bottom w:val="none" w:sz="0" w:space="0" w:color="auto"/>
        <w:right w:val="none" w:sz="0" w:space="0" w:color="auto"/>
      </w:divBdr>
      <w:divsChild>
        <w:div w:id="1407845554">
          <w:marLeft w:val="0"/>
          <w:marRight w:val="0"/>
          <w:marTop w:val="0"/>
          <w:marBottom w:val="0"/>
          <w:divBdr>
            <w:top w:val="none" w:sz="0" w:space="0" w:color="auto"/>
            <w:left w:val="none" w:sz="0" w:space="0" w:color="auto"/>
            <w:bottom w:val="none" w:sz="0" w:space="0" w:color="auto"/>
            <w:right w:val="none" w:sz="0" w:space="0" w:color="auto"/>
          </w:divBdr>
          <w:divsChild>
            <w:div w:id="1407845544">
              <w:marLeft w:val="0"/>
              <w:marRight w:val="0"/>
              <w:marTop w:val="0"/>
              <w:marBottom w:val="0"/>
              <w:divBdr>
                <w:top w:val="single" w:sz="6" w:space="0" w:color="D4D4D4"/>
                <w:left w:val="none" w:sz="0" w:space="0" w:color="auto"/>
                <w:bottom w:val="none" w:sz="0" w:space="0" w:color="auto"/>
                <w:right w:val="none" w:sz="0" w:space="0" w:color="auto"/>
              </w:divBdr>
              <w:divsChild>
                <w:div w:id="1407845551">
                  <w:marLeft w:val="0"/>
                  <w:marRight w:val="0"/>
                  <w:marTop w:val="0"/>
                  <w:marBottom w:val="0"/>
                  <w:divBdr>
                    <w:top w:val="none" w:sz="0" w:space="0" w:color="auto"/>
                    <w:left w:val="none" w:sz="0" w:space="0" w:color="auto"/>
                    <w:bottom w:val="none" w:sz="0" w:space="0" w:color="auto"/>
                    <w:right w:val="none" w:sz="0" w:space="0" w:color="auto"/>
                  </w:divBdr>
                  <w:divsChild>
                    <w:div w:id="1407845549">
                      <w:marLeft w:val="0"/>
                      <w:marRight w:val="0"/>
                      <w:marTop w:val="0"/>
                      <w:marBottom w:val="0"/>
                      <w:divBdr>
                        <w:top w:val="none" w:sz="0" w:space="0" w:color="auto"/>
                        <w:left w:val="none" w:sz="0" w:space="0" w:color="auto"/>
                        <w:bottom w:val="none" w:sz="0" w:space="0" w:color="auto"/>
                        <w:right w:val="none" w:sz="0" w:space="0" w:color="auto"/>
                      </w:divBdr>
                      <w:divsChild>
                        <w:div w:id="1407845547">
                          <w:marLeft w:val="0"/>
                          <w:marRight w:val="0"/>
                          <w:marTop w:val="0"/>
                          <w:marBottom w:val="0"/>
                          <w:divBdr>
                            <w:top w:val="none" w:sz="0" w:space="0" w:color="auto"/>
                            <w:left w:val="none" w:sz="0" w:space="0" w:color="auto"/>
                            <w:bottom w:val="none" w:sz="0" w:space="0" w:color="auto"/>
                            <w:right w:val="none" w:sz="0" w:space="0" w:color="auto"/>
                          </w:divBdr>
                          <w:divsChild>
                            <w:div w:id="140784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845545">
      <w:marLeft w:val="0"/>
      <w:marRight w:val="0"/>
      <w:marTop w:val="0"/>
      <w:marBottom w:val="0"/>
      <w:divBdr>
        <w:top w:val="none" w:sz="0" w:space="0" w:color="auto"/>
        <w:left w:val="none" w:sz="0" w:space="0" w:color="auto"/>
        <w:bottom w:val="none" w:sz="0" w:space="0" w:color="auto"/>
        <w:right w:val="none" w:sz="0" w:space="0" w:color="auto"/>
      </w:divBdr>
    </w:div>
    <w:div w:id="1407845546">
      <w:marLeft w:val="0"/>
      <w:marRight w:val="0"/>
      <w:marTop w:val="0"/>
      <w:marBottom w:val="0"/>
      <w:divBdr>
        <w:top w:val="none" w:sz="0" w:space="0" w:color="auto"/>
        <w:left w:val="none" w:sz="0" w:space="0" w:color="auto"/>
        <w:bottom w:val="none" w:sz="0" w:space="0" w:color="auto"/>
        <w:right w:val="none" w:sz="0" w:space="0" w:color="auto"/>
      </w:divBdr>
    </w:div>
    <w:div w:id="1407845548">
      <w:marLeft w:val="0"/>
      <w:marRight w:val="0"/>
      <w:marTop w:val="0"/>
      <w:marBottom w:val="0"/>
      <w:divBdr>
        <w:top w:val="none" w:sz="0" w:space="0" w:color="auto"/>
        <w:left w:val="none" w:sz="0" w:space="0" w:color="auto"/>
        <w:bottom w:val="none" w:sz="0" w:space="0" w:color="auto"/>
        <w:right w:val="none" w:sz="0" w:space="0" w:color="auto"/>
      </w:divBdr>
    </w:div>
    <w:div w:id="1407845552">
      <w:marLeft w:val="0"/>
      <w:marRight w:val="0"/>
      <w:marTop w:val="0"/>
      <w:marBottom w:val="0"/>
      <w:divBdr>
        <w:top w:val="none" w:sz="0" w:space="0" w:color="auto"/>
        <w:left w:val="none" w:sz="0" w:space="0" w:color="auto"/>
        <w:bottom w:val="none" w:sz="0" w:space="0" w:color="auto"/>
        <w:right w:val="none" w:sz="0" w:space="0" w:color="auto"/>
      </w:divBdr>
    </w:div>
    <w:div w:id="1407845553">
      <w:marLeft w:val="0"/>
      <w:marRight w:val="0"/>
      <w:marTop w:val="0"/>
      <w:marBottom w:val="0"/>
      <w:divBdr>
        <w:top w:val="none" w:sz="0" w:space="0" w:color="auto"/>
        <w:left w:val="none" w:sz="0" w:space="0" w:color="auto"/>
        <w:bottom w:val="none" w:sz="0" w:space="0" w:color="auto"/>
        <w:right w:val="none" w:sz="0" w:space="0" w:color="auto"/>
      </w:divBdr>
    </w:div>
    <w:div w:id="1446463315">
      <w:bodyDiv w:val="1"/>
      <w:marLeft w:val="0"/>
      <w:marRight w:val="0"/>
      <w:marTop w:val="0"/>
      <w:marBottom w:val="0"/>
      <w:divBdr>
        <w:top w:val="none" w:sz="0" w:space="0" w:color="auto"/>
        <w:left w:val="none" w:sz="0" w:space="0" w:color="auto"/>
        <w:bottom w:val="none" w:sz="0" w:space="0" w:color="auto"/>
        <w:right w:val="none" w:sz="0" w:space="0" w:color="auto"/>
      </w:divBdr>
      <w:divsChild>
        <w:div w:id="1327898735">
          <w:marLeft w:val="0"/>
          <w:marRight w:val="0"/>
          <w:marTop w:val="0"/>
          <w:marBottom w:val="0"/>
          <w:divBdr>
            <w:top w:val="none" w:sz="0" w:space="0" w:color="auto"/>
            <w:left w:val="none" w:sz="0" w:space="0" w:color="auto"/>
            <w:bottom w:val="none" w:sz="0" w:space="0" w:color="auto"/>
            <w:right w:val="none" w:sz="0" w:space="0" w:color="auto"/>
          </w:divBdr>
          <w:divsChild>
            <w:div w:id="77338464">
              <w:marLeft w:val="0"/>
              <w:marRight w:val="0"/>
              <w:marTop w:val="0"/>
              <w:marBottom w:val="0"/>
              <w:divBdr>
                <w:top w:val="none" w:sz="0" w:space="0" w:color="auto"/>
                <w:left w:val="none" w:sz="0" w:space="0" w:color="auto"/>
                <w:bottom w:val="none" w:sz="0" w:space="0" w:color="auto"/>
                <w:right w:val="none" w:sz="0" w:space="0" w:color="auto"/>
              </w:divBdr>
              <w:divsChild>
                <w:div w:id="446242638">
                  <w:marLeft w:val="-180"/>
                  <w:marRight w:val="-180"/>
                  <w:marTop w:val="0"/>
                  <w:marBottom w:val="0"/>
                  <w:divBdr>
                    <w:top w:val="none" w:sz="0" w:space="0" w:color="auto"/>
                    <w:left w:val="none" w:sz="0" w:space="0" w:color="auto"/>
                    <w:bottom w:val="none" w:sz="0" w:space="0" w:color="auto"/>
                    <w:right w:val="none" w:sz="0" w:space="0" w:color="auto"/>
                  </w:divBdr>
                  <w:divsChild>
                    <w:div w:id="338971594">
                      <w:marLeft w:val="0"/>
                      <w:marRight w:val="0"/>
                      <w:marTop w:val="0"/>
                      <w:marBottom w:val="0"/>
                      <w:divBdr>
                        <w:top w:val="none" w:sz="0" w:space="0" w:color="auto"/>
                        <w:left w:val="none" w:sz="0" w:space="0" w:color="auto"/>
                        <w:bottom w:val="none" w:sz="0" w:space="0" w:color="auto"/>
                        <w:right w:val="none" w:sz="0" w:space="0" w:color="auto"/>
                      </w:divBdr>
                      <w:divsChild>
                        <w:div w:id="270475927">
                          <w:marLeft w:val="0"/>
                          <w:marRight w:val="0"/>
                          <w:marTop w:val="0"/>
                          <w:marBottom w:val="0"/>
                          <w:divBdr>
                            <w:top w:val="none" w:sz="0" w:space="0" w:color="auto"/>
                            <w:left w:val="none" w:sz="0" w:space="0" w:color="auto"/>
                            <w:bottom w:val="none" w:sz="0" w:space="0" w:color="auto"/>
                            <w:right w:val="none" w:sz="0" w:space="0" w:color="auto"/>
                          </w:divBdr>
                          <w:divsChild>
                            <w:div w:id="1815294870">
                              <w:marLeft w:val="0"/>
                              <w:marRight w:val="0"/>
                              <w:marTop w:val="0"/>
                              <w:marBottom w:val="0"/>
                              <w:divBdr>
                                <w:top w:val="none" w:sz="0" w:space="0" w:color="auto"/>
                                <w:left w:val="none" w:sz="0" w:space="0" w:color="auto"/>
                                <w:bottom w:val="none" w:sz="0" w:space="0" w:color="auto"/>
                                <w:right w:val="none" w:sz="0" w:space="0" w:color="auto"/>
                              </w:divBdr>
                              <w:divsChild>
                                <w:div w:id="1936866478">
                                  <w:marLeft w:val="0"/>
                                  <w:marRight w:val="0"/>
                                  <w:marTop w:val="0"/>
                                  <w:marBottom w:val="0"/>
                                  <w:divBdr>
                                    <w:top w:val="none" w:sz="0" w:space="0" w:color="auto"/>
                                    <w:left w:val="none" w:sz="0" w:space="0" w:color="auto"/>
                                    <w:bottom w:val="none" w:sz="0" w:space="0" w:color="auto"/>
                                    <w:right w:val="none" w:sz="0" w:space="0" w:color="auto"/>
                                  </w:divBdr>
                                  <w:divsChild>
                                    <w:div w:id="1071536034">
                                      <w:marLeft w:val="0"/>
                                      <w:marRight w:val="0"/>
                                      <w:marTop w:val="0"/>
                                      <w:marBottom w:val="480"/>
                                      <w:divBdr>
                                        <w:top w:val="none" w:sz="0" w:space="0" w:color="auto"/>
                                        <w:left w:val="none" w:sz="0" w:space="0" w:color="auto"/>
                                        <w:bottom w:val="none" w:sz="0" w:space="0" w:color="auto"/>
                                        <w:right w:val="none" w:sz="0" w:space="0" w:color="auto"/>
                                      </w:divBdr>
                                      <w:divsChild>
                                        <w:div w:id="225075111">
                                          <w:marLeft w:val="0"/>
                                          <w:marRight w:val="0"/>
                                          <w:marTop w:val="0"/>
                                          <w:marBottom w:val="0"/>
                                          <w:divBdr>
                                            <w:top w:val="none" w:sz="0" w:space="0" w:color="auto"/>
                                            <w:left w:val="none" w:sz="0" w:space="0" w:color="auto"/>
                                            <w:bottom w:val="none" w:sz="0" w:space="0" w:color="auto"/>
                                            <w:right w:val="none" w:sz="0" w:space="0" w:color="auto"/>
                                          </w:divBdr>
                                          <w:divsChild>
                                            <w:div w:id="374160168">
                                              <w:marLeft w:val="0"/>
                                              <w:marRight w:val="0"/>
                                              <w:marTop w:val="0"/>
                                              <w:marBottom w:val="0"/>
                                              <w:divBdr>
                                                <w:top w:val="none" w:sz="0" w:space="0" w:color="auto"/>
                                                <w:left w:val="none" w:sz="0" w:space="0" w:color="auto"/>
                                                <w:bottom w:val="none" w:sz="0" w:space="0" w:color="auto"/>
                                                <w:right w:val="none" w:sz="0" w:space="0" w:color="auto"/>
                                              </w:divBdr>
                                              <w:divsChild>
                                                <w:div w:id="1701200644">
                                                  <w:marLeft w:val="0"/>
                                                  <w:marRight w:val="0"/>
                                                  <w:marTop w:val="0"/>
                                                  <w:marBottom w:val="360"/>
                                                  <w:divBdr>
                                                    <w:top w:val="none" w:sz="0" w:space="0" w:color="auto"/>
                                                    <w:left w:val="none" w:sz="0" w:space="0" w:color="auto"/>
                                                    <w:bottom w:val="none" w:sz="0" w:space="0" w:color="auto"/>
                                                    <w:right w:val="none" w:sz="0" w:space="0" w:color="auto"/>
                                                  </w:divBdr>
                                                  <w:divsChild>
                                                    <w:div w:id="68964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8384718">
      <w:bodyDiv w:val="1"/>
      <w:marLeft w:val="0"/>
      <w:marRight w:val="0"/>
      <w:marTop w:val="0"/>
      <w:marBottom w:val="0"/>
      <w:divBdr>
        <w:top w:val="none" w:sz="0" w:space="0" w:color="auto"/>
        <w:left w:val="none" w:sz="0" w:space="0" w:color="auto"/>
        <w:bottom w:val="none" w:sz="0" w:space="0" w:color="auto"/>
        <w:right w:val="none" w:sz="0" w:space="0" w:color="auto"/>
      </w:divBdr>
    </w:div>
    <w:div w:id="1883711638">
      <w:bodyDiv w:val="1"/>
      <w:marLeft w:val="0"/>
      <w:marRight w:val="0"/>
      <w:marTop w:val="0"/>
      <w:marBottom w:val="0"/>
      <w:divBdr>
        <w:top w:val="none" w:sz="0" w:space="0" w:color="auto"/>
        <w:left w:val="none" w:sz="0" w:space="0" w:color="auto"/>
        <w:bottom w:val="none" w:sz="0" w:space="0" w:color="auto"/>
        <w:right w:val="none" w:sz="0" w:space="0" w:color="auto"/>
      </w:divBdr>
    </w:div>
    <w:div w:id="2090031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yfedpowys-pcc.org.uk/en/the-office/strategies-and-polic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teams/sites/OPCC/OPCC%20Site/Admin/Templates/Deep%20dive%20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Type2 xmlns="242c32be-31bf-422c-ab0d-7abc8ae381ac">Report</DocType2>
    <Financial_x0020_Period xmlns="242c32be-31bf-422c-ab0d-7abc8ae381ac">2018/19</Financial_x0020_Period>
    <Estates_x0020_1 xmlns="242c32be-31bf-422c-ab0d-7abc8ae381ac"/>
    <Financial_x0020_Period0 xmlns="242c32be-31bf-422c-ab0d-7abc8ae381ac">Q2</Financial_x0020_Period0>
    <Topic xmlns="242c32be-31bf-422c-ab0d-7abc8ae381ac">Scrutiny</Topic>
    <Month xmlns="242c32be-31bf-422c-ab0d-7abc8ae381ac">Sep</Month>
    <ProjectSub xmlns="242c32be-31bf-422c-ab0d-7abc8ae381ac"/>
    <Term xmlns="242c32be-31bf-422c-ab0d-7abc8ae381ac">
      <Value>Term2</Value>
    </Term>
    <Forum xmlns="242c32be-31bf-422c-ab0d-7abc8ae381ac" xsi:nil="true"/>
    <Project xmlns="242c32be-31bf-422c-ab0d-7abc8ae381ac" xsi:nil="true"/>
    <Destruction_x0020_Date xmlns="242c32be-31bf-422c-ab0d-7abc8ae381ac">2021-03-30T23:00:00+00:00</Destruction_x0020_Date>
    <TaxCatchAll xmlns="cf6dc0cf-1d45-4a2f-a37f-b5391cb0490c"/>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6A924-87E7-4FAC-9E41-12FCDD8ACEAC}">
  <ds:schemaRefs>
    <ds:schemaRef ds:uri="242c32be-31bf-422c-ab0d-7abc8ae381ac"/>
    <ds:schemaRef ds:uri="http://www.w3.org/XML/1998/namespace"/>
    <ds:schemaRef ds:uri="http://purl.org/dc/terms/"/>
    <ds:schemaRef ds:uri="http://schemas.microsoft.com/office/2006/metadata/propertie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cf6dc0cf-1d45-4a2f-a37f-b5391cb0490c"/>
    <ds:schemaRef ds:uri="http://purl.org/dc/dcmitype/"/>
  </ds:schemaRefs>
</ds:datastoreItem>
</file>

<file path=customXml/itemProps2.xml><?xml version="1.0" encoding="utf-8"?>
<ds:datastoreItem xmlns:ds="http://schemas.openxmlformats.org/officeDocument/2006/customXml" ds:itemID="{6104E152-71F5-499D-A597-F5B577FD1282}">
  <ds:schemaRefs>
    <ds:schemaRef ds:uri="http://schemas.microsoft.com/office/2006/metadata/longProperties"/>
  </ds:schemaRefs>
</ds:datastoreItem>
</file>

<file path=customXml/itemProps3.xml><?xml version="1.0" encoding="utf-8"?>
<ds:datastoreItem xmlns:ds="http://schemas.openxmlformats.org/officeDocument/2006/customXml" ds:itemID="{9A682E6B-11CA-4871-8D65-6CE2153BF0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E15AE9-E647-47AC-BF00-1150D1FA6F13}">
  <ds:schemaRefs>
    <ds:schemaRef ds:uri="http://schemas.microsoft.com/sharepoint/v3/contenttype/forms"/>
  </ds:schemaRefs>
</ds:datastoreItem>
</file>

<file path=customXml/itemProps5.xml><?xml version="1.0" encoding="utf-8"?>
<ds:datastoreItem xmlns:ds="http://schemas.openxmlformats.org/officeDocument/2006/customXml" ds:itemID="{3BCE5A4A-158A-48F0-8366-D512B8C6F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Deep%20dive%20report%20template</Template>
  <TotalTime>1</TotalTime>
  <Pages>6</Pages>
  <Words>1747</Words>
  <Characters>9496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Heddlu Dyfed-Powys Police</Company>
  <LinksUpToDate>false</LinksUpToDate>
  <CharactersWithSpaces>11221</CharactersWithSpaces>
  <SharedDoc>false</SharedDoc>
  <HLinks>
    <vt:vector size="72" baseType="variant">
      <vt:variant>
        <vt:i4>589855</vt:i4>
      </vt:variant>
      <vt:variant>
        <vt:i4>69</vt:i4>
      </vt:variant>
      <vt:variant>
        <vt:i4>0</vt:i4>
      </vt:variant>
      <vt:variant>
        <vt:i4>5</vt:i4>
      </vt:variant>
      <vt:variant>
        <vt:lpwstr>http://www.dyfed-powys.pcc.police.uk/Document-Library/Have-Your-Say/ResidentsPanel-OnlineReports-Background-Intro.pdf</vt:lpwstr>
      </vt:variant>
      <vt:variant>
        <vt:lpwstr/>
      </vt:variant>
      <vt:variant>
        <vt:i4>1245241</vt:i4>
      </vt:variant>
      <vt:variant>
        <vt:i4>62</vt:i4>
      </vt:variant>
      <vt:variant>
        <vt:i4>0</vt:i4>
      </vt:variant>
      <vt:variant>
        <vt:i4>5</vt:i4>
      </vt:variant>
      <vt:variant>
        <vt:lpwstr/>
      </vt:variant>
      <vt:variant>
        <vt:lpwstr>_Toc400357806</vt:lpwstr>
      </vt:variant>
      <vt:variant>
        <vt:i4>1245241</vt:i4>
      </vt:variant>
      <vt:variant>
        <vt:i4>56</vt:i4>
      </vt:variant>
      <vt:variant>
        <vt:i4>0</vt:i4>
      </vt:variant>
      <vt:variant>
        <vt:i4>5</vt:i4>
      </vt:variant>
      <vt:variant>
        <vt:lpwstr/>
      </vt:variant>
      <vt:variant>
        <vt:lpwstr>_Toc400357805</vt:lpwstr>
      </vt:variant>
      <vt:variant>
        <vt:i4>1245241</vt:i4>
      </vt:variant>
      <vt:variant>
        <vt:i4>50</vt:i4>
      </vt:variant>
      <vt:variant>
        <vt:i4>0</vt:i4>
      </vt:variant>
      <vt:variant>
        <vt:i4>5</vt:i4>
      </vt:variant>
      <vt:variant>
        <vt:lpwstr/>
      </vt:variant>
      <vt:variant>
        <vt:lpwstr>_Toc400357804</vt:lpwstr>
      </vt:variant>
      <vt:variant>
        <vt:i4>1245241</vt:i4>
      </vt:variant>
      <vt:variant>
        <vt:i4>44</vt:i4>
      </vt:variant>
      <vt:variant>
        <vt:i4>0</vt:i4>
      </vt:variant>
      <vt:variant>
        <vt:i4>5</vt:i4>
      </vt:variant>
      <vt:variant>
        <vt:lpwstr/>
      </vt:variant>
      <vt:variant>
        <vt:lpwstr>_Toc400357803</vt:lpwstr>
      </vt:variant>
      <vt:variant>
        <vt:i4>1245241</vt:i4>
      </vt:variant>
      <vt:variant>
        <vt:i4>38</vt:i4>
      </vt:variant>
      <vt:variant>
        <vt:i4>0</vt:i4>
      </vt:variant>
      <vt:variant>
        <vt:i4>5</vt:i4>
      </vt:variant>
      <vt:variant>
        <vt:lpwstr/>
      </vt:variant>
      <vt:variant>
        <vt:lpwstr>_Toc400357802</vt:lpwstr>
      </vt:variant>
      <vt:variant>
        <vt:i4>1245241</vt:i4>
      </vt:variant>
      <vt:variant>
        <vt:i4>32</vt:i4>
      </vt:variant>
      <vt:variant>
        <vt:i4>0</vt:i4>
      </vt:variant>
      <vt:variant>
        <vt:i4>5</vt:i4>
      </vt:variant>
      <vt:variant>
        <vt:lpwstr/>
      </vt:variant>
      <vt:variant>
        <vt:lpwstr>_Toc400357801</vt:lpwstr>
      </vt:variant>
      <vt:variant>
        <vt:i4>1245241</vt:i4>
      </vt:variant>
      <vt:variant>
        <vt:i4>26</vt:i4>
      </vt:variant>
      <vt:variant>
        <vt:i4>0</vt:i4>
      </vt:variant>
      <vt:variant>
        <vt:i4>5</vt:i4>
      </vt:variant>
      <vt:variant>
        <vt:lpwstr/>
      </vt:variant>
      <vt:variant>
        <vt:lpwstr>_Toc400357800</vt:lpwstr>
      </vt:variant>
      <vt:variant>
        <vt:i4>1703990</vt:i4>
      </vt:variant>
      <vt:variant>
        <vt:i4>20</vt:i4>
      </vt:variant>
      <vt:variant>
        <vt:i4>0</vt:i4>
      </vt:variant>
      <vt:variant>
        <vt:i4>5</vt:i4>
      </vt:variant>
      <vt:variant>
        <vt:lpwstr/>
      </vt:variant>
      <vt:variant>
        <vt:lpwstr>_Toc400357799</vt:lpwstr>
      </vt:variant>
      <vt:variant>
        <vt:i4>1703990</vt:i4>
      </vt:variant>
      <vt:variant>
        <vt:i4>14</vt:i4>
      </vt:variant>
      <vt:variant>
        <vt:i4>0</vt:i4>
      </vt:variant>
      <vt:variant>
        <vt:i4>5</vt:i4>
      </vt:variant>
      <vt:variant>
        <vt:lpwstr/>
      </vt:variant>
      <vt:variant>
        <vt:lpwstr>_Toc400357798</vt:lpwstr>
      </vt:variant>
      <vt:variant>
        <vt:i4>1703990</vt:i4>
      </vt:variant>
      <vt:variant>
        <vt:i4>8</vt:i4>
      </vt:variant>
      <vt:variant>
        <vt:i4>0</vt:i4>
      </vt:variant>
      <vt:variant>
        <vt:i4>5</vt:i4>
      </vt:variant>
      <vt:variant>
        <vt:lpwstr/>
      </vt:variant>
      <vt:variant>
        <vt:lpwstr>_Toc400357797</vt:lpwstr>
      </vt:variant>
      <vt:variant>
        <vt:i4>1703990</vt:i4>
      </vt:variant>
      <vt:variant>
        <vt:i4>2</vt:i4>
      </vt:variant>
      <vt:variant>
        <vt:i4>0</vt:i4>
      </vt:variant>
      <vt:variant>
        <vt:i4>5</vt:i4>
      </vt:variant>
      <vt:variant>
        <vt:lpwstr/>
      </vt:variant>
      <vt:variant>
        <vt:lpwstr>_Toc400357796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Gayther Cheryl</dc:creator>
  <cp:lastModifiedBy>Harris Nicola OPCC</cp:lastModifiedBy>
  <cp:revision>2</cp:revision>
  <cp:lastPrinted>2019-04-12T14:45:00Z</cp:lastPrinted>
  <dcterms:created xsi:type="dcterms:W3CDTF">2019-11-15T12:37:00Z</dcterms:created>
  <dcterms:modified xsi:type="dcterms:W3CDTF">2019-11-15T12:37:00Z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0x010100A0EF691A6D15C44892C3C7D4E4F3FC4A</vt:lpwstr>
  </property>
  <property fmtid="{D5CDD505-2E9C-101B-9397-08002B2CF9AE}" pid="3" name="Archive?">
    <vt:lpwstr>0</vt:lpwstr>
  </property>
  <property fmtid="{D5CDD505-2E9C-101B-9397-08002B2CF9AE}" pid="4" name="Order">
    <vt:lpwstr>148400.000000000</vt:lpwstr>
  </property>
  <property fmtid="{D5CDD505-2E9C-101B-9397-08002B2CF9AE}" pid="5" name="TitusGUID">
    <vt:lpwstr>787064ff-2b44-4d04-97ba-b30dac10bbe7</vt:lpwstr>
  </property>
</Properties>
</file>